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8D" w:rsidRDefault="00544E03" w:rsidP="00645A9F">
      <w:pPr>
        <w:pStyle w:val="Header"/>
        <w:jc w:val="right"/>
        <w:rPr>
          <w:b/>
          <w:bCs/>
          <w:sz w:val="28"/>
          <w:szCs w:val="28"/>
        </w:rPr>
      </w:pPr>
      <w:r>
        <w:rPr>
          <w:b/>
          <w:bCs/>
          <w:sz w:val="28"/>
          <w:szCs w:val="28"/>
        </w:rPr>
        <w:t>Attachment A</w:t>
      </w:r>
    </w:p>
    <w:p w:rsidR="004C0247" w:rsidRDefault="004C0247">
      <w:pPr>
        <w:pStyle w:val="Header"/>
        <w:jc w:val="center"/>
        <w:rPr>
          <w:b/>
          <w:bCs/>
          <w:sz w:val="28"/>
          <w:szCs w:val="28"/>
        </w:rPr>
      </w:pPr>
    </w:p>
    <w:p w:rsidR="0017538D" w:rsidRDefault="0017538D">
      <w:pPr>
        <w:pStyle w:val="Header"/>
        <w:jc w:val="center"/>
        <w:rPr>
          <w:b/>
          <w:bCs/>
          <w:sz w:val="28"/>
          <w:szCs w:val="28"/>
        </w:rPr>
      </w:pPr>
    </w:p>
    <w:p w:rsidR="00A16CAF" w:rsidRDefault="00C96BB2" w:rsidP="00A16CAF">
      <w:pPr>
        <w:pStyle w:val="Header"/>
        <w:tabs>
          <w:tab w:val="left" w:pos="3105"/>
        </w:tabs>
        <w:rPr>
          <w:b/>
          <w:bCs/>
          <w:sz w:val="28"/>
          <w:szCs w:val="28"/>
        </w:rPr>
      </w:pPr>
      <w:r>
        <w:rPr>
          <w:b/>
          <w:bCs/>
          <w:sz w:val="28"/>
          <w:szCs w:val="28"/>
        </w:rPr>
        <w:tab/>
      </w:r>
      <w:r>
        <w:rPr>
          <w:b/>
          <w:bCs/>
          <w:sz w:val="28"/>
          <w:szCs w:val="28"/>
        </w:rPr>
        <w:tab/>
      </w:r>
    </w:p>
    <w:p w:rsidR="0017538D" w:rsidRDefault="00721BF8">
      <w:pPr>
        <w:pStyle w:val="Header"/>
        <w:jc w:val="center"/>
        <w:rPr>
          <w:b/>
          <w:bCs/>
          <w:sz w:val="52"/>
          <w:szCs w:val="52"/>
        </w:rPr>
      </w:pPr>
      <w:r>
        <w:rPr>
          <w:noProof/>
        </w:rPr>
        <w:drawing>
          <wp:inline distT="0" distB="0" distL="0" distR="0">
            <wp:extent cx="5267325" cy="857250"/>
            <wp:effectExtent l="19050" t="0" r="9525" b="0"/>
            <wp:docPr id="1" name="Picture 1" descr="DOCLogo_4c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Logo_4cCROPPED"/>
                    <pic:cNvPicPr>
                      <a:picLocks noChangeAspect="1" noChangeArrowheads="1"/>
                    </pic:cNvPicPr>
                  </pic:nvPicPr>
                  <pic:blipFill>
                    <a:blip r:embed="rId8"/>
                    <a:srcRect/>
                    <a:stretch>
                      <a:fillRect/>
                    </a:stretch>
                  </pic:blipFill>
                  <pic:spPr bwMode="auto">
                    <a:xfrm>
                      <a:off x="0" y="0"/>
                      <a:ext cx="5267325" cy="857250"/>
                    </a:xfrm>
                    <a:prstGeom prst="rect">
                      <a:avLst/>
                    </a:prstGeom>
                    <a:noFill/>
                    <a:ln w="9525">
                      <a:noFill/>
                      <a:miter lim="800000"/>
                      <a:headEnd/>
                      <a:tailEnd/>
                    </a:ln>
                  </pic:spPr>
                </pic:pic>
              </a:graphicData>
            </a:graphic>
          </wp:inline>
        </w:drawing>
      </w:r>
    </w:p>
    <w:p w:rsidR="00945EB8" w:rsidRDefault="00945EB8" w:rsidP="00F1052B">
      <w:pPr>
        <w:pStyle w:val="Header"/>
        <w:jc w:val="center"/>
        <w:rPr>
          <w:b/>
          <w:bCs/>
          <w:sz w:val="52"/>
          <w:szCs w:val="52"/>
        </w:rPr>
      </w:pPr>
    </w:p>
    <w:p w:rsidR="00993524" w:rsidRDefault="00993524" w:rsidP="00F1052B">
      <w:pPr>
        <w:pStyle w:val="Header"/>
        <w:jc w:val="center"/>
        <w:rPr>
          <w:b/>
          <w:bCs/>
          <w:sz w:val="52"/>
          <w:szCs w:val="52"/>
        </w:rPr>
      </w:pPr>
    </w:p>
    <w:p w:rsidR="0017538D" w:rsidRDefault="0017538D" w:rsidP="00F1052B">
      <w:pPr>
        <w:pStyle w:val="Header"/>
        <w:jc w:val="center"/>
        <w:rPr>
          <w:b/>
          <w:bCs/>
          <w:sz w:val="52"/>
          <w:szCs w:val="52"/>
        </w:rPr>
      </w:pPr>
      <w:r>
        <w:rPr>
          <w:b/>
          <w:bCs/>
          <w:sz w:val="52"/>
          <w:szCs w:val="52"/>
        </w:rPr>
        <w:t>Guidelines</w:t>
      </w:r>
    </w:p>
    <w:p w:rsidR="0017538D" w:rsidRPr="00B0632A" w:rsidRDefault="0017538D">
      <w:pPr>
        <w:pStyle w:val="Header"/>
        <w:jc w:val="center"/>
        <w:rPr>
          <w:b/>
          <w:bCs/>
          <w:sz w:val="22"/>
          <w:szCs w:val="22"/>
        </w:rPr>
      </w:pPr>
    </w:p>
    <w:p w:rsidR="0017538D" w:rsidRDefault="0017538D">
      <w:pPr>
        <w:jc w:val="center"/>
        <w:rPr>
          <w:rFonts w:ascii="Times" w:hAnsi="Times" w:cs="Times"/>
          <w:sz w:val="22"/>
          <w:szCs w:val="22"/>
        </w:rPr>
      </w:pPr>
      <w:r>
        <w:rPr>
          <w:rFonts w:ascii="Arial" w:hAnsi="Arial" w:cs="Arial"/>
          <w:sz w:val="22"/>
          <w:szCs w:val="22"/>
        </w:rPr>
        <w:t>FOR</w:t>
      </w:r>
      <w:r>
        <w:rPr>
          <w:rFonts w:ascii="Times" w:hAnsi="Times" w:cs="Times"/>
          <w:sz w:val="22"/>
          <w:szCs w:val="22"/>
        </w:rPr>
        <w:t xml:space="preserve"> </w:t>
      </w:r>
    </w:p>
    <w:p w:rsidR="0017538D" w:rsidRDefault="0017538D">
      <w:pPr>
        <w:jc w:val="center"/>
        <w:rPr>
          <w:rFonts w:ascii="Times" w:hAnsi="Times" w:cs="Times"/>
          <w:sz w:val="22"/>
          <w:szCs w:val="22"/>
        </w:rPr>
      </w:pPr>
    </w:p>
    <w:p w:rsidR="0017538D" w:rsidRDefault="0017538D">
      <w:pPr>
        <w:jc w:val="center"/>
        <w:rPr>
          <w:b/>
          <w:bCs/>
          <w:sz w:val="52"/>
          <w:szCs w:val="52"/>
        </w:rPr>
      </w:pPr>
      <w:r>
        <w:rPr>
          <w:b/>
          <w:bCs/>
          <w:sz w:val="52"/>
          <w:szCs w:val="52"/>
        </w:rPr>
        <w:t xml:space="preserve">Consolidated Homeless Grant </w:t>
      </w:r>
    </w:p>
    <w:p w:rsidR="0039185F" w:rsidRDefault="0039185F">
      <w:pPr>
        <w:jc w:val="center"/>
        <w:rPr>
          <w:b/>
          <w:bCs/>
          <w:sz w:val="52"/>
          <w:szCs w:val="52"/>
        </w:rPr>
      </w:pPr>
    </w:p>
    <w:p w:rsidR="00993524" w:rsidRPr="0039185F" w:rsidRDefault="0039185F">
      <w:pPr>
        <w:jc w:val="center"/>
        <w:rPr>
          <w:b/>
          <w:bCs/>
          <w:i/>
          <w:sz w:val="40"/>
          <w:szCs w:val="40"/>
        </w:rPr>
      </w:pPr>
      <w:r w:rsidRPr="0039185F">
        <w:rPr>
          <w:b/>
          <w:bCs/>
          <w:i/>
          <w:sz w:val="40"/>
          <w:szCs w:val="40"/>
        </w:rPr>
        <w:t>January 1, 2014</w:t>
      </w:r>
      <w:r w:rsidR="007B2DE5">
        <w:rPr>
          <w:b/>
          <w:bCs/>
          <w:i/>
          <w:sz w:val="40"/>
          <w:szCs w:val="40"/>
        </w:rPr>
        <w:t xml:space="preserve"> </w:t>
      </w:r>
      <w:r w:rsidRPr="0039185F">
        <w:rPr>
          <w:b/>
          <w:bCs/>
          <w:i/>
          <w:sz w:val="40"/>
          <w:szCs w:val="40"/>
        </w:rPr>
        <w:t>-</w:t>
      </w:r>
      <w:r w:rsidR="007B2DE5">
        <w:rPr>
          <w:b/>
          <w:bCs/>
          <w:i/>
          <w:sz w:val="40"/>
          <w:szCs w:val="40"/>
        </w:rPr>
        <w:t xml:space="preserve"> </w:t>
      </w:r>
      <w:r w:rsidRPr="0039185F">
        <w:rPr>
          <w:b/>
          <w:bCs/>
          <w:i/>
          <w:sz w:val="40"/>
          <w:szCs w:val="40"/>
        </w:rPr>
        <w:t>December 31, 2015</w:t>
      </w:r>
    </w:p>
    <w:p w:rsidR="0039185F" w:rsidRDefault="0039185F" w:rsidP="00993524">
      <w:pPr>
        <w:pStyle w:val="Header"/>
        <w:jc w:val="center"/>
        <w:rPr>
          <w:b/>
          <w:bCs/>
          <w:sz w:val="52"/>
          <w:szCs w:val="52"/>
        </w:rPr>
      </w:pPr>
    </w:p>
    <w:p w:rsidR="00993524" w:rsidRPr="00A85605" w:rsidRDefault="00993524" w:rsidP="00993524">
      <w:pPr>
        <w:pStyle w:val="Header"/>
        <w:jc w:val="center"/>
        <w:rPr>
          <w:b/>
          <w:bCs/>
          <w:color w:val="FF0000"/>
          <w:sz w:val="52"/>
          <w:szCs w:val="52"/>
        </w:rPr>
      </w:pPr>
      <w:r w:rsidRPr="00A85605">
        <w:rPr>
          <w:b/>
          <w:bCs/>
          <w:color w:val="FF0000"/>
          <w:sz w:val="52"/>
          <w:szCs w:val="52"/>
        </w:rPr>
        <w:t>DRAFT</w:t>
      </w:r>
    </w:p>
    <w:p w:rsidR="0039185F" w:rsidRDefault="0039185F" w:rsidP="00993524">
      <w:pPr>
        <w:pStyle w:val="Header"/>
        <w:jc w:val="center"/>
        <w:rPr>
          <w:b/>
          <w:bCs/>
          <w:sz w:val="52"/>
          <w:szCs w:val="52"/>
        </w:rPr>
      </w:pPr>
    </w:p>
    <w:p w:rsidR="00993524" w:rsidRDefault="00993524">
      <w:pPr>
        <w:jc w:val="center"/>
        <w:rPr>
          <w:b/>
          <w:bCs/>
          <w:sz w:val="52"/>
          <w:szCs w:val="52"/>
        </w:rPr>
      </w:pPr>
    </w:p>
    <w:p w:rsidR="0017538D" w:rsidRDefault="0017538D">
      <w:pPr>
        <w:jc w:val="center"/>
        <w:rPr>
          <w:rFonts w:ascii="Times" w:hAnsi="Times" w:cs="Times"/>
          <w:b/>
          <w:bCs/>
          <w:sz w:val="28"/>
          <w:szCs w:val="28"/>
        </w:rPr>
      </w:pPr>
    </w:p>
    <w:p w:rsidR="0017538D" w:rsidRDefault="0017538D">
      <w:pPr>
        <w:jc w:val="center"/>
        <w:rPr>
          <w:rFonts w:ascii="Times" w:hAnsi="Times" w:cs="Times"/>
          <w:b/>
          <w:noProof/>
          <w:sz w:val="28"/>
          <w:szCs w:val="28"/>
        </w:rPr>
      </w:pPr>
    </w:p>
    <w:p w:rsidR="00A35C8E" w:rsidRDefault="00A35C8E">
      <w:pPr>
        <w:jc w:val="center"/>
        <w:rPr>
          <w:rFonts w:ascii="Times" w:hAnsi="Times" w:cs="Times"/>
          <w:b/>
          <w:noProof/>
          <w:sz w:val="28"/>
          <w:szCs w:val="28"/>
        </w:rPr>
      </w:pPr>
    </w:p>
    <w:p w:rsidR="00A35C8E" w:rsidRDefault="00A35C8E">
      <w:pPr>
        <w:jc w:val="center"/>
        <w:rPr>
          <w:rFonts w:ascii="Times" w:hAnsi="Times" w:cs="Times"/>
          <w:sz w:val="28"/>
          <w:szCs w:val="28"/>
        </w:rPr>
      </w:pPr>
    </w:p>
    <w:p w:rsidR="00A35C8E" w:rsidRDefault="00A35C8E">
      <w:pPr>
        <w:jc w:val="center"/>
        <w:rPr>
          <w:rFonts w:ascii="Times" w:hAnsi="Times" w:cs="Times"/>
          <w:sz w:val="28"/>
          <w:szCs w:val="28"/>
        </w:rPr>
      </w:pPr>
    </w:p>
    <w:p w:rsidR="0017538D" w:rsidRDefault="0017538D">
      <w:pPr>
        <w:jc w:val="center"/>
        <w:rPr>
          <w:rFonts w:ascii="Times" w:hAnsi="Times" w:cs="Times"/>
          <w:sz w:val="28"/>
          <w:szCs w:val="28"/>
        </w:rPr>
      </w:pPr>
      <w:r>
        <w:rPr>
          <w:rFonts w:ascii="Times" w:hAnsi="Times" w:cs="Times"/>
          <w:sz w:val="28"/>
          <w:szCs w:val="28"/>
        </w:rPr>
        <w:t xml:space="preserve">Funded through the </w:t>
      </w:r>
    </w:p>
    <w:p w:rsidR="0017538D" w:rsidRDefault="0017538D">
      <w:pPr>
        <w:jc w:val="center"/>
        <w:rPr>
          <w:rFonts w:ascii="Times" w:hAnsi="Times" w:cs="Times"/>
          <w:sz w:val="40"/>
          <w:szCs w:val="40"/>
        </w:rPr>
      </w:pPr>
      <w:r>
        <w:rPr>
          <w:rFonts w:ascii="Times" w:hAnsi="Times" w:cs="Times"/>
          <w:sz w:val="40"/>
          <w:szCs w:val="40"/>
        </w:rPr>
        <w:t>Housing Assistance Unit</w:t>
      </w:r>
    </w:p>
    <w:p w:rsidR="0017538D" w:rsidRDefault="0017538D">
      <w:pPr>
        <w:jc w:val="center"/>
        <w:rPr>
          <w:rFonts w:ascii="Times" w:hAnsi="Times" w:cs="Times"/>
          <w:sz w:val="40"/>
          <w:szCs w:val="40"/>
        </w:rPr>
      </w:pPr>
      <w:r>
        <w:rPr>
          <w:rFonts w:ascii="Times" w:hAnsi="Times" w:cs="Times"/>
          <w:sz w:val="40"/>
          <w:szCs w:val="40"/>
        </w:rPr>
        <w:t>Community Services and Housing Division</w:t>
      </w:r>
    </w:p>
    <w:p w:rsidR="0017538D" w:rsidRDefault="0017538D">
      <w:pPr>
        <w:jc w:val="center"/>
        <w:rPr>
          <w:rFonts w:ascii="Times" w:hAnsi="Times" w:cs="Times"/>
          <w:sz w:val="40"/>
          <w:szCs w:val="40"/>
        </w:rPr>
      </w:pPr>
      <w:r>
        <w:rPr>
          <w:rFonts w:ascii="Times" w:hAnsi="Times" w:cs="Times"/>
          <w:sz w:val="40"/>
          <w:szCs w:val="40"/>
        </w:rPr>
        <w:t>Department of Commerce</w:t>
      </w:r>
    </w:p>
    <w:p w:rsidR="0017538D" w:rsidRPr="004C5B56" w:rsidRDefault="004C5B56" w:rsidP="004C5B56">
      <w:pPr>
        <w:jc w:val="center"/>
        <w:rPr>
          <w:rFonts w:ascii="Times" w:hAnsi="Times" w:cs="Times"/>
          <w:sz w:val="28"/>
          <w:szCs w:val="28"/>
        </w:rPr>
      </w:pPr>
      <w:r>
        <w:rPr>
          <w:rFonts w:ascii="Times" w:hAnsi="Times" w:cs="Times"/>
          <w:sz w:val="28"/>
          <w:szCs w:val="28"/>
        </w:rPr>
        <w:t xml:space="preserve"> </w:t>
      </w:r>
      <w:r w:rsidR="006C1A6C">
        <w:rPr>
          <w:rFonts w:ascii="Times" w:hAnsi="Times" w:cs="Times"/>
          <w:sz w:val="28"/>
          <w:szCs w:val="28"/>
        </w:rPr>
        <w:t xml:space="preserve">January 2014 </w:t>
      </w:r>
      <w:r w:rsidR="00967EF8">
        <w:rPr>
          <w:rFonts w:ascii="Times" w:hAnsi="Times" w:cs="Times"/>
          <w:sz w:val="28"/>
          <w:szCs w:val="28"/>
        </w:rPr>
        <w:t xml:space="preserve"> </w:t>
      </w:r>
    </w:p>
    <w:p w:rsidR="0017538D" w:rsidRDefault="0017538D">
      <w:pPr>
        <w:rPr>
          <w:rFonts w:ascii="Times" w:hAnsi="Times" w:cs="Times"/>
          <w:sz w:val="22"/>
          <w:szCs w:val="22"/>
        </w:rPr>
      </w:pPr>
    </w:p>
    <w:p w:rsidR="0017538D" w:rsidRDefault="0017538D">
      <w:pPr>
        <w:rPr>
          <w:rFonts w:ascii="Times" w:hAnsi="Times" w:cs="Times"/>
          <w:sz w:val="22"/>
          <w:szCs w:val="22"/>
        </w:rPr>
      </w:pPr>
    </w:p>
    <w:p w:rsidR="0017538D" w:rsidRDefault="0017538D">
      <w:pPr>
        <w:rPr>
          <w:rFonts w:ascii="Times" w:hAnsi="Times" w:cs="Times"/>
          <w:b/>
          <w:bCs/>
          <w:sz w:val="56"/>
          <w:szCs w:val="56"/>
        </w:rPr>
      </w:pPr>
    </w:p>
    <w:p w:rsidR="001A07DE" w:rsidRDefault="001A07DE" w:rsidP="001D757F">
      <w:pPr>
        <w:jc w:val="center"/>
        <w:rPr>
          <w:rFonts w:ascii="Times" w:hAnsi="Times" w:cs="Times"/>
          <w:b/>
          <w:bCs/>
        </w:rPr>
        <w:sectPr w:rsidR="001A07DE" w:rsidSect="00513D27">
          <w:pgSz w:w="12240" w:h="15840" w:code="1"/>
          <w:pgMar w:top="1152" w:right="1440" w:bottom="1152" w:left="1440" w:header="720" w:footer="720" w:gutter="0"/>
          <w:pgNumType w:start="1"/>
          <w:cols w:space="720"/>
          <w:titlePg/>
          <w:docGrid w:linePitch="360"/>
        </w:sectPr>
      </w:pPr>
    </w:p>
    <w:p w:rsidR="0017538D" w:rsidRDefault="0017538D">
      <w:pPr>
        <w:pStyle w:val="Header"/>
        <w:jc w:val="center"/>
        <w:rPr>
          <w:b/>
          <w:bCs/>
          <w:sz w:val="28"/>
          <w:szCs w:val="28"/>
        </w:rPr>
      </w:pPr>
      <w:r>
        <w:rPr>
          <w:b/>
          <w:bCs/>
          <w:sz w:val="28"/>
          <w:szCs w:val="28"/>
        </w:rPr>
        <w:lastRenderedPageBreak/>
        <w:t>Table of Contents</w:t>
      </w:r>
    </w:p>
    <w:p w:rsidR="0017538D" w:rsidRPr="008D14BB" w:rsidRDefault="0017538D">
      <w:pPr>
        <w:rPr>
          <w:rFonts w:ascii="Times" w:hAnsi="Times" w:cs="Times"/>
          <w:sz w:val="16"/>
          <w:szCs w:val="16"/>
        </w:rPr>
      </w:pPr>
    </w:p>
    <w:p w:rsidR="00AD0E3A" w:rsidRPr="008D14BB" w:rsidRDefault="00463695" w:rsidP="00463695">
      <w:pPr>
        <w:pStyle w:val="ListParagraph"/>
        <w:tabs>
          <w:tab w:val="left" w:leader="dot" w:pos="8820"/>
        </w:tabs>
        <w:ind w:left="360"/>
        <w:rPr>
          <w:sz w:val="22"/>
          <w:szCs w:val="22"/>
        </w:rPr>
      </w:pPr>
      <w:r>
        <w:rPr>
          <w:sz w:val="22"/>
          <w:szCs w:val="22"/>
        </w:rPr>
        <w:t xml:space="preserve">1. </w:t>
      </w:r>
      <w:r w:rsidR="0017538D" w:rsidRPr="008D14BB">
        <w:rPr>
          <w:sz w:val="22"/>
          <w:szCs w:val="22"/>
        </w:rPr>
        <w:t>Overview</w:t>
      </w:r>
      <w:r w:rsidR="00AD0E3A" w:rsidRPr="008D14BB">
        <w:rPr>
          <w:sz w:val="22"/>
          <w:szCs w:val="22"/>
        </w:rPr>
        <w:tab/>
      </w:r>
      <w:r w:rsidR="00604215">
        <w:rPr>
          <w:sz w:val="22"/>
          <w:szCs w:val="22"/>
        </w:rPr>
        <w:t>1</w:t>
      </w:r>
    </w:p>
    <w:p w:rsidR="00AD0E3A" w:rsidRPr="00EA6537" w:rsidRDefault="0017538D" w:rsidP="00AD0E3A">
      <w:pPr>
        <w:pStyle w:val="ListParagraph"/>
        <w:tabs>
          <w:tab w:val="left" w:leader="dot" w:pos="8820"/>
        </w:tabs>
        <w:ind w:left="360"/>
        <w:rPr>
          <w:sz w:val="14"/>
          <w:szCs w:val="14"/>
        </w:rPr>
      </w:pPr>
      <w:r w:rsidRPr="00EA6537">
        <w:rPr>
          <w:sz w:val="14"/>
          <w:szCs w:val="14"/>
        </w:rPr>
        <w:t xml:space="preserve"> </w:t>
      </w:r>
    </w:p>
    <w:p w:rsidR="0017538D" w:rsidRPr="008D14BB" w:rsidRDefault="00463695" w:rsidP="00463695">
      <w:pPr>
        <w:pStyle w:val="ListParagraph"/>
        <w:tabs>
          <w:tab w:val="left" w:leader="dot" w:pos="8820"/>
        </w:tabs>
        <w:ind w:left="360"/>
        <w:rPr>
          <w:sz w:val="22"/>
          <w:szCs w:val="22"/>
        </w:rPr>
      </w:pPr>
      <w:r>
        <w:rPr>
          <w:sz w:val="22"/>
          <w:szCs w:val="22"/>
        </w:rPr>
        <w:t xml:space="preserve">2. </w:t>
      </w:r>
      <w:r w:rsidR="000E5543" w:rsidRPr="008D14BB">
        <w:rPr>
          <w:sz w:val="22"/>
          <w:szCs w:val="22"/>
        </w:rPr>
        <w:t xml:space="preserve">Purpose </w:t>
      </w:r>
      <w:r w:rsidR="0017538D" w:rsidRPr="008D14BB">
        <w:rPr>
          <w:sz w:val="22"/>
          <w:szCs w:val="22"/>
        </w:rPr>
        <w:tab/>
      </w:r>
      <w:r w:rsidR="00604215">
        <w:rPr>
          <w:sz w:val="22"/>
          <w:szCs w:val="22"/>
        </w:rPr>
        <w:t>1</w:t>
      </w:r>
    </w:p>
    <w:p w:rsidR="0017538D" w:rsidRPr="00EA6537" w:rsidRDefault="0017538D">
      <w:pPr>
        <w:tabs>
          <w:tab w:val="left" w:leader="dot" w:pos="8820"/>
        </w:tabs>
        <w:ind w:left="1440"/>
        <w:rPr>
          <w:sz w:val="14"/>
          <w:szCs w:val="14"/>
        </w:rPr>
      </w:pPr>
    </w:p>
    <w:p w:rsidR="0017538D" w:rsidRDefault="00463695" w:rsidP="00463695">
      <w:pPr>
        <w:pStyle w:val="ListParagraph"/>
        <w:tabs>
          <w:tab w:val="left" w:leader="dot" w:pos="8820"/>
        </w:tabs>
        <w:ind w:left="360"/>
        <w:rPr>
          <w:sz w:val="22"/>
          <w:szCs w:val="22"/>
        </w:rPr>
      </w:pPr>
      <w:r>
        <w:rPr>
          <w:sz w:val="22"/>
          <w:szCs w:val="22"/>
        </w:rPr>
        <w:t xml:space="preserve">3. </w:t>
      </w:r>
      <w:r w:rsidR="00B20D0A">
        <w:rPr>
          <w:sz w:val="22"/>
          <w:szCs w:val="22"/>
        </w:rPr>
        <w:t>Eligibility</w:t>
      </w:r>
      <w:r w:rsidR="0017538D" w:rsidRPr="008D14BB">
        <w:rPr>
          <w:sz w:val="22"/>
          <w:szCs w:val="22"/>
        </w:rPr>
        <w:tab/>
      </w:r>
      <w:r w:rsidR="00B20D0A">
        <w:rPr>
          <w:sz w:val="22"/>
          <w:szCs w:val="22"/>
        </w:rPr>
        <w:t>1</w:t>
      </w:r>
    </w:p>
    <w:p w:rsidR="00B20D0A" w:rsidRDefault="00B20D0A" w:rsidP="00B20D0A">
      <w:pPr>
        <w:pStyle w:val="ListParagraph"/>
        <w:tabs>
          <w:tab w:val="left" w:pos="1080"/>
          <w:tab w:val="left" w:leader="dot" w:pos="8820"/>
        </w:tabs>
        <w:ind w:left="360" w:firstLine="720"/>
        <w:rPr>
          <w:sz w:val="22"/>
          <w:szCs w:val="22"/>
        </w:rPr>
      </w:pPr>
      <w:r>
        <w:rPr>
          <w:sz w:val="22"/>
          <w:szCs w:val="22"/>
        </w:rPr>
        <w:t>Housing Status Eligibility</w:t>
      </w:r>
      <w:r>
        <w:rPr>
          <w:sz w:val="22"/>
          <w:szCs w:val="22"/>
        </w:rPr>
        <w:tab/>
        <w:t>1</w:t>
      </w:r>
    </w:p>
    <w:p w:rsidR="00B20D0A" w:rsidRDefault="00B20D0A" w:rsidP="00B20D0A">
      <w:pPr>
        <w:pStyle w:val="ListParagraph"/>
        <w:tabs>
          <w:tab w:val="left" w:pos="1080"/>
          <w:tab w:val="left" w:pos="1800"/>
          <w:tab w:val="left" w:leader="dot" w:pos="8820"/>
        </w:tabs>
        <w:ind w:left="360" w:firstLine="720"/>
        <w:rPr>
          <w:sz w:val="22"/>
          <w:szCs w:val="22"/>
        </w:rPr>
      </w:pPr>
      <w:r>
        <w:rPr>
          <w:sz w:val="22"/>
          <w:szCs w:val="22"/>
        </w:rPr>
        <w:tab/>
        <w:t>At Risk of Becoming Homeless</w:t>
      </w:r>
      <w:r>
        <w:rPr>
          <w:sz w:val="22"/>
          <w:szCs w:val="22"/>
        </w:rPr>
        <w:tab/>
      </w:r>
      <w:r w:rsidR="006D34FE">
        <w:rPr>
          <w:sz w:val="22"/>
          <w:szCs w:val="22"/>
        </w:rPr>
        <w:t>2</w:t>
      </w:r>
    </w:p>
    <w:p w:rsidR="00B20D0A" w:rsidRPr="008D14BB" w:rsidRDefault="00B20D0A" w:rsidP="00B20D0A">
      <w:pPr>
        <w:pStyle w:val="ListParagraph"/>
        <w:tabs>
          <w:tab w:val="left" w:pos="1080"/>
          <w:tab w:val="left" w:pos="1800"/>
          <w:tab w:val="left" w:leader="dot" w:pos="8820"/>
        </w:tabs>
        <w:ind w:left="360" w:firstLine="720"/>
        <w:rPr>
          <w:sz w:val="22"/>
          <w:szCs w:val="22"/>
        </w:rPr>
      </w:pPr>
      <w:r>
        <w:rPr>
          <w:sz w:val="22"/>
          <w:szCs w:val="22"/>
        </w:rPr>
        <w:tab/>
        <w:t>Homeless</w:t>
      </w:r>
      <w:r>
        <w:rPr>
          <w:sz w:val="22"/>
          <w:szCs w:val="22"/>
        </w:rPr>
        <w:tab/>
        <w:t>2</w:t>
      </w:r>
    </w:p>
    <w:p w:rsidR="00535941" w:rsidRPr="00535941" w:rsidRDefault="00535941" w:rsidP="00535941">
      <w:pPr>
        <w:pStyle w:val="ListParagraph"/>
        <w:tabs>
          <w:tab w:val="left" w:pos="1080"/>
          <w:tab w:val="left" w:pos="1800"/>
          <w:tab w:val="left" w:leader="dot" w:pos="8820"/>
        </w:tabs>
        <w:ind w:left="360"/>
        <w:rPr>
          <w:sz w:val="22"/>
          <w:szCs w:val="22"/>
        </w:rPr>
      </w:pPr>
      <w:r>
        <w:rPr>
          <w:sz w:val="14"/>
          <w:szCs w:val="14"/>
        </w:rPr>
        <w:tab/>
      </w:r>
      <w:r>
        <w:rPr>
          <w:sz w:val="22"/>
          <w:szCs w:val="22"/>
        </w:rPr>
        <w:t>Income Eligibility</w:t>
      </w:r>
      <w:r>
        <w:rPr>
          <w:sz w:val="22"/>
          <w:szCs w:val="22"/>
        </w:rPr>
        <w:tab/>
      </w:r>
      <w:r w:rsidR="00C02B26">
        <w:rPr>
          <w:sz w:val="22"/>
          <w:szCs w:val="22"/>
        </w:rPr>
        <w:t>3</w:t>
      </w:r>
    </w:p>
    <w:p w:rsidR="001843EA" w:rsidRPr="008D14BB" w:rsidRDefault="001843EA" w:rsidP="000B02D6">
      <w:pPr>
        <w:pStyle w:val="ListParagraph"/>
        <w:tabs>
          <w:tab w:val="left" w:pos="1800"/>
          <w:tab w:val="left" w:leader="dot" w:pos="8820"/>
        </w:tabs>
        <w:ind w:left="360"/>
        <w:rPr>
          <w:sz w:val="22"/>
          <w:szCs w:val="22"/>
        </w:rPr>
      </w:pPr>
      <w:r>
        <w:rPr>
          <w:sz w:val="22"/>
          <w:szCs w:val="22"/>
        </w:rPr>
        <w:t xml:space="preserve">                    </w:t>
      </w:r>
      <w:r w:rsidR="000B02D6">
        <w:rPr>
          <w:sz w:val="22"/>
          <w:szCs w:val="22"/>
        </w:rPr>
        <w:tab/>
      </w:r>
      <w:r>
        <w:rPr>
          <w:sz w:val="22"/>
          <w:szCs w:val="22"/>
        </w:rPr>
        <w:t xml:space="preserve">Income Eligibility for households staying in </w:t>
      </w:r>
      <w:r w:rsidR="005474DC">
        <w:rPr>
          <w:sz w:val="22"/>
          <w:szCs w:val="22"/>
        </w:rPr>
        <w:t>congregate living</w:t>
      </w:r>
      <w:r>
        <w:rPr>
          <w:sz w:val="22"/>
          <w:szCs w:val="22"/>
        </w:rPr>
        <w:tab/>
      </w:r>
      <w:r w:rsidR="00C02B26">
        <w:rPr>
          <w:sz w:val="22"/>
          <w:szCs w:val="22"/>
        </w:rPr>
        <w:t>3</w:t>
      </w:r>
    </w:p>
    <w:p w:rsidR="004665FD" w:rsidRPr="008D14BB" w:rsidRDefault="000B02D6" w:rsidP="000B02D6">
      <w:pPr>
        <w:tabs>
          <w:tab w:val="left" w:pos="1800"/>
          <w:tab w:val="left" w:leader="dot" w:pos="8820"/>
        </w:tabs>
        <w:ind w:left="720" w:firstLine="720"/>
        <w:rPr>
          <w:bCs/>
          <w:sz w:val="22"/>
          <w:szCs w:val="22"/>
        </w:rPr>
      </w:pPr>
      <w:r>
        <w:rPr>
          <w:bCs/>
          <w:sz w:val="22"/>
          <w:szCs w:val="22"/>
        </w:rPr>
        <w:tab/>
      </w:r>
      <w:r w:rsidR="004665FD" w:rsidRPr="008D14BB">
        <w:rPr>
          <w:bCs/>
          <w:sz w:val="22"/>
          <w:szCs w:val="22"/>
        </w:rPr>
        <w:t xml:space="preserve">Income </w:t>
      </w:r>
      <w:r w:rsidR="00C56163">
        <w:rPr>
          <w:bCs/>
          <w:sz w:val="22"/>
          <w:szCs w:val="22"/>
        </w:rPr>
        <w:t>E</w:t>
      </w:r>
      <w:r w:rsidR="004665FD" w:rsidRPr="008D14BB">
        <w:rPr>
          <w:bCs/>
          <w:sz w:val="22"/>
          <w:szCs w:val="22"/>
        </w:rPr>
        <w:t xml:space="preserve">ligibility for households </w:t>
      </w:r>
      <w:r w:rsidR="00442AD4">
        <w:rPr>
          <w:bCs/>
          <w:sz w:val="22"/>
          <w:szCs w:val="22"/>
        </w:rPr>
        <w:t>staying in single household units</w:t>
      </w:r>
      <w:r w:rsidR="004665FD" w:rsidRPr="008D14BB">
        <w:rPr>
          <w:sz w:val="22"/>
          <w:szCs w:val="22"/>
        </w:rPr>
        <w:tab/>
      </w:r>
      <w:r w:rsidR="00604215">
        <w:rPr>
          <w:sz w:val="22"/>
          <w:szCs w:val="22"/>
        </w:rPr>
        <w:t>3</w:t>
      </w:r>
    </w:p>
    <w:p w:rsidR="00F94F0F" w:rsidRPr="008D14BB" w:rsidRDefault="004665FD" w:rsidP="000B02D6">
      <w:pPr>
        <w:tabs>
          <w:tab w:val="left" w:pos="1800"/>
          <w:tab w:val="left" w:leader="dot" w:pos="8820"/>
        </w:tabs>
        <w:ind w:left="1440" w:firstLine="360"/>
        <w:rPr>
          <w:bCs/>
          <w:sz w:val="22"/>
          <w:szCs w:val="22"/>
        </w:rPr>
      </w:pPr>
      <w:r w:rsidRPr="008D14BB">
        <w:rPr>
          <w:bCs/>
          <w:sz w:val="22"/>
          <w:szCs w:val="22"/>
        </w:rPr>
        <w:t xml:space="preserve">Income </w:t>
      </w:r>
      <w:r w:rsidR="00C56163">
        <w:rPr>
          <w:bCs/>
          <w:sz w:val="22"/>
          <w:szCs w:val="22"/>
        </w:rPr>
        <w:t>E</w:t>
      </w:r>
      <w:r w:rsidRPr="008D14BB">
        <w:rPr>
          <w:bCs/>
          <w:sz w:val="22"/>
          <w:szCs w:val="22"/>
        </w:rPr>
        <w:t>ligibility for households receiving rent</w:t>
      </w:r>
      <w:r w:rsidR="00316DA7">
        <w:rPr>
          <w:bCs/>
          <w:sz w:val="22"/>
          <w:szCs w:val="22"/>
        </w:rPr>
        <w:t>al</w:t>
      </w:r>
      <w:r w:rsidRPr="008D14BB">
        <w:rPr>
          <w:bCs/>
          <w:sz w:val="22"/>
          <w:szCs w:val="22"/>
        </w:rPr>
        <w:t xml:space="preserve"> assistance</w:t>
      </w:r>
      <w:r w:rsidR="00604215" w:rsidRPr="008D14BB">
        <w:rPr>
          <w:sz w:val="22"/>
          <w:szCs w:val="22"/>
        </w:rPr>
        <w:tab/>
      </w:r>
      <w:r w:rsidR="000B02D6">
        <w:rPr>
          <w:sz w:val="22"/>
          <w:szCs w:val="22"/>
        </w:rPr>
        <w:t>3</w:t>
      </w:r>
    </w:p>
    <w:p w:rsidR="004665FD" w:rsidRPr="008D14BB" w:rsidRDefault="000B02D6" w:rsidP="000B02D6">
      <w:pPr>
        <w:tabs>
          <w:tab w:val="left" w:pos="1800"/>
          <w:tab w:val="left" w:leader="dot" w:pos="8820"/>
        </w:tabs>
        <w:ind w:left="1440" w:firstLine="360"/>
        <w:rPr>
          <w:bCs/>
          <w:sz w:val="22"/>
          <w:szCs w:val="22"/>
        </w:rPr>
      </w:pPr>
      <w:r>
        <w:rPr>
          <w:bCs/>
          <w:sz w:val="22"/>
          <w:szCs w:val="22"/>
        </w:rPr>
        <w:t>Recertification of Income Eligibility</w:t>
      </w:r>
      <w:r w:rsidR="004665FD" w:rsidRPr="008D14BB">
        <w:rPr>
          <w:sz w:val="22"/>
          <w:szCs w:val="22"/>
        </w:rPr>
        <w:tab/>
      </w:r>
      <w:r w:rsidR="00C02B26">
        <w:rPr>
          <w:sz w:val="22"/>
          <w:szCs w:val="22"/>
        </w:rPr>
        <w:t>4</w:t>
      </w:r>
    </w:p>
    <w:p w:rsidR="00EE6547" w:rsidRDefault="000B02D6" w:rsidP="000B02D6">
      <w:pPr>
        <w:tabs>
          <w:tab w:val="left" w:pos="1080"/>
          <w:tab w:val="left" w:leader="dot" w:pos="8820"/>
        </w:tabs>
        <w:rPr>
          <w:sz w:val="22"/>
          <w:szCs w:val="22"/>
        </w:rPr>
      </w:pPr>
      <w:r>
        <w:rPr>
          <w:bCs/>
          <w:sz w:val="22"/>
          <w:szCs w:val="22"/>
        </w:rPr>
        <w:tab/>
        <w:t xml:space="preserve">Eligibility for Households with </w:t>
      </w:r>
      <w:r w:rsidR="009E1F26">
        <w:rPr>
          <w:bCs/>
          <w:sz w:val="22"/>
          <w:szCs w:val="22"/>
        </w:rPr>
        <w:t xml:space="preserve">Minor </w:t>
      </w:r>
      <w:r>
        <w:rPr>
          <w:bCs/>
          <w:sz w:val="22"/>
          <w:szCs w:val="22"/>
        </w:rPr>
        <w:t>Children</w:t>
      </w:r>
      <w:r w:rsidR="00EE6547" w:rsidRPr="008D14BB">
        <w:rPr>
          <w:sz w:val="22"/>
          <w:szCs w:val="22"/>
        </w:rPr>
        <w:tab/>
      </w:r>
      <w:r w:rsidR="00E24772">
        <w:rPr>
          <w:sz w:val="22"/>
          <w:szCs w:val="22"/>
        </w:rPr>
        <w:t>4</w:t>
      </w:r>
    </w:p>
    <w:p w:rsidR="00EC7E07" w:rsidRPr="008D14BB" w:rsidRDefault="00EC7E07" w:rsidP="000B02D6">
      <w:pPr>
        <w:tabs>
          <w:tab w:val="left" w:pos="1080"/>
          <w:tab w:val="left" w:leader="dot" w:pos="8820"/>
        </w:tabs>
        <w:rPr>
          <w:sz w:val="22"/>
          <w:szCs w:val="22"/>
        </w:rPr>
      </w:pPr>
      <w:r>
        <w:rPr>
          <w:sz w:val="22"/>
          <w:szCs w:val="22"/>
        </w:rPr>
        <w:t xml:space="preserve">                    Client Fraud</w:t>
      </w:r>
      <w:r w:rsidRPr="008D14BB">
        <w:rPr>
          <w:sz w:val="22"/>
          <w:szCs w:val="22"/>
        </w:rPr>
        <w:tab/>
      </w:r>
      <w:r>
        <w:rPr>
          <w:sz w:val="22"/>
          <w:szCs w:val="22"/>
        </w:rPr>
        <w:t xml:space="preserve">4 </w:t>
      </w:r>
    </w:p>
    <w:p w:rsidR="0017538D" w:rsidRPr="00EA6537" w:rsidRDefault="0017538D">
      <w:pPr>
        <w:pStyle w:val="ListParagraph"/>
        <w:tabs>
          <w:tab w:val="left" w:leader="dot" w:pos="8820"/>
        </w:tabs>
        <w:ind w:left="360"/>
        <w:rPr>
          <w:sz w:val="14"/>
          <w:szCs w:val="14"/>
        </w:rPr>
      </w:pPr>
    </w:p>
    <w:p w:rsidR="0017538D" w:rsidRDefault="000B02D6" w:rsidP="00463695">
      <w:pPr>
        <w:pStyle w:val="ListParagraph"/>
        <w:tabs>
          <w:tab w:val="left" w:pos="0"/>
          <w:tab w:val="left" w:leader="dot" w:pos="8820"/>
        </w:tabs>
        <w:ind w:left="360"/>
        <w:rPr>
          <w:sz w:val="22"/>
          <w:szCs w:val="22"/>
        </w:rPr>
      </w:pPr>
      <w:r>
        <w:rPr>
          <w:sz w:val="22"/>
          <w:szCs w:val="22"/>
        </w:rPr>
        <w:t>4</w:t>
      </w:r>
      <w:r w:rsidR="00463695">
        <w:rPr>
          <w:sz w:val="22"/>
          <w:szCs w:val="22"/>
        </w:rPr>
        <w:t xml:space="preserve">. </w:t>
      </w:r>
      <w:r>
        <w:rPr>
          <w:sz w:val="22"/>
          <w:szCs w:val="22"/>
        </w:rPr>
        <w:t>Documentation of Eligibility</w:t>
      </w:r>
      <w:r w:rsidR="001C1A62" w:rsidRPr="001C1A62">
        <w:rPr>
          <w:sz w:val="22"/>
          <w:szCs w:val="22"/>
        </w:rPr>
        <w:t xml:space="preserve"> </w:t>
      </w:r>
      <w:r w:rsidR="001C1A62" w:rsidRPr="008D14BB">
        <w:rPr>
          <w:sz w:val="22"/>
          <w:szCs w:val="22"/>
        </w:rPr>
        <w:tab/>
      </w:r>
      <w:r>
        <w:rPr>
          <w:sz w:val="22"/>
          <w:szCs w:val="22"/>
        </w:rPr>
        <w:t>4</w:t>
      </w:r>
    </w:p>
    <w:p w:rsidR="000B02D6" w:rsidRDefault="000B02D6" w:rsidP="000B02D6">
      <w:pPr>
        <w:tabs>
          <w:tab w:val="left" w:pos="1080"/>
          <w:tab w:val="left" w:leader="dot" w:pos="8820"/>
        </w:tabs>
        <w:ind w:left="1080" w:hanging="1080"/>
        <w:rPr>
          <w:sz w:val="22"/>
          <w:szCs w:val="22"/>
        </w:rPr>
      </w:pPr>
      <w:r>
        <w:rPr>
          <w:sz w:val="22"/>
          <w:szCs w:val="22"/>
        </w:rPr>
        <w:tab/>
        <w:t>Documentation of Housing Status</w:t>
      </w:r>
      <w:r>
        <w:rPr>
          <w:sz w:val="22"/>
          <w:szCs w:val="22"/>
        </w:rPr>
        <w:tab/>
        <w:t>5</w:t>
      </w:r>
    </w:p>
    <w:p w:rsidR="000B02D6" w:rsidRDefault="000B02D6" w:rsidP="000B02D6">
      <w:pPr>
        <w:tabs>
          <w:tab w:val="left" w:pos="1080"/>
          <w:tab w:val="left" w:leader="dot" w:pos="8820"/>
        </w:tabs>
        <w:ind w:left="1080" w:hanging="1080"/>
        <w:rPr>
          <w:sz w:val="22"/>
          <w:szCs w:val="22"/>
        </w:rPr>
      </w:pPr>
      <w:r>
        <w:rPr>
          <w:sz w:val="22"/>
          <w:szCs w:val="22"/>
        </w:rPr>
        <w:tab/>
        <w:t>Documentation of Income</w:t>
      </w:r>
      <w:r>
        <w:rPr>
          <w:sz w:val="22"/>
          <w:szCs w:val="22"/>
        </w:rPr>
        <w:tab/>
        <w:t>5</w:t>
      </w:r>
    </w:p>
    <w:p w:rsidR="000B02D6" w:rsidRDefault="000B02D6" w:rsidP="000B02D6">
      <w:pPr>
        <w:tabs>
          <w:tab w:val="left" w:pos="1800"/>
          <w:tab w:val="left" w:leader="dot" w:pos="8820"/>
        </w:tabs>
        <w:ind w:left="1080" w:hanging="1080"/>
        <w:rPr>
          <w:sz w:val="22"/>
          <w:szCs w:val="22"/>
        </w:rPr>
      </w:pPr>
      <w:r>
        <w:rPr>
          <w:sz w:val="22"/>
          <w:szCs w:val="22"/>
        </w:rPr>
        <w:tab/>
      </w:r>
      <w:r>
        <w:rPr>
          <w:sz w:val="22"/>
          <w:szCs w:val="22"/>
        </w:rPr>
        <w:tab/>
        <w:t>Income Definition</w:t>
      </w:r>
      <w:r>
        <w:rPr>
          <w:sz w:val="22"/>
          <w:szCs w:val="22"/>
        </w:rPr>
        <w:tab/>
      </w:r>
      <w:r w:rsidR="00AD1E89">
        <w:rPr>
          <w:sz w:val="22"/>
          <w:szCs w:val="22"/>
        </w:rPr>
        <w:t>5</w:t>
      </w:r>
    </w:p>
    <w:p w:rsidR="000B02D6" w:rsidRDefault="000B02D6" w:rsidP="000B02D6">
      <w:pPr>
        <w:tabs>
          <w:tab w:val="left" w:pos="1800"/>
          <w:tab w:val="left" w:leader="dot" w:pos="8820"/>
        </w:tabs>
        <w:ind w:left="1080" w:hanging="1080"/>
        <w:rPr>
          <w:sz w:val="22"/>
          <w:szCs w:val="22"/>
        </w:rPr>
      </w:pPr>
      <w:r>
        <w:rPr>
          <w:sz w:val="22"/>
          <w:szCs w:val="22"/>
        </w:rPr>
        <w:tab/>
      </w:r>
      <w:r>
        <w:rPr>
          <w:sz w:val="22"/>
          <w:szCs w:val="22"/>
        </w:rPr>
        <w:tab/>
        <w:t>Annualizing Wages and Period Payments</w:t>
      </w:r>
      <w:r>
        <w:rPr>
          <w:sz w:val="22"/>
          <w:szCs w:val="22"/>
        </w:rPr>
        <w:tab/>
        <w:t>6</w:t>
      </w:r>
    </w:p>
    <w:p w:rsidR="00E16653" w:rsidRDefault="00E16653" w:rsidP="000B02D6">
      <w:pPr>
        <w:tabs>
          <w:tab w:val="left" w:pos="1800"/>
          <w:tab w:val="left" w:leader="dot" w:pos="8820"/>
        </w:tabs>
        <w:ind w:left="1080" w:hanging="1080"/>
        <w:rPr>
          <w:sz w:val="22"/>
          <w:szCs w:val="22"/>
        </w:rPr>
      </w:pPr>
      <w:r>
        <w:rPr>
          <w:sz w:val="22"/>
          <w:szCs w:val="22"/>
        </w:rPr>
        <w:tab/>
        <w:t>Documentation of Eligib</w:t>
      </w:r>
      <w:r w:rsidR="006A2FB9">
        <w:rPr>
          <w:sz w:val="22"/>
          <w:szCs w:val="22"/>
        </w:rPr>
        <w:t>i</w:t>
      </w:r>
      <w:r>
        <w:rPr>
          <w:sz w:val="22"/>
          <w:szCs w:val="22"/>
        </w:rPr>
        <w:t>l</w:t>
      </w:r>
      <w:r w:rsidR="006A2FB9">
        <w:rPr>
          <w:sz w:val="22"/>
          <w:szCs w:val="22"/>
        </w:rPr>
        <w:t>ity for</w:t>
      </w:r>
      <w:r>
        <w:rPr>
          <w:sz w:val="22"/>
          <w:szCs w:val="22"/>
        </w:rPr>
        <w:t xml:space="preserve"> Households with </w:t>
      </w:r>
      <w:r w:rsidR="009E1F26">
        <w:rPr>
          <w:sz w:val="22"/>
          <w:szCs w:val="22"/>
        </w:rPr>
        <w:t xml:space="preserve">Minor </w:t>
      </w:r>
      <w:r>
        <w:rPr>
          <w:sz w:val="22"/>
          <w:szCs w:val="22"/>
        </w:rPr>
        <w:t>Children</w:t>
      </w:r>
      <w:r>
        <w:rPr>
          <w:sz w:val="22"/>
          <w:szCs w:val="22"/>
        </w:rPr>
        <w:tab/>
      </w:r>
      <w:r w:rsidR="00C02B26">
        <w:rPr>
          <w:sz w:val="22"/>
          <w:szCs w:val="22"/>
        </w:rPr>
        <w:t>7</w:t>
      </w:r>
    </w:p>
    <w:p w:rsidR="00C86377" w:rsidRPr="00C86377" w:rsidRDefault="00C86377" w:rsidP="000B02D6">
      <w:pPr>
        <w:tabs>
          <w:tab w:val="left" w:pos="1800"/>
          <w:tab w:val="left" w:leader="dot" w:pos="8820"/>
        </w:tabs>
        <w:ind w:left="1080" w:hanging="1080"/>
        <w:rPr>
          <w:sz w:val="14"/>
          <w:szCs w:val="14"/>
        </w:rPr>
      </w:pPr>
      <w:r>
        <w:rPr>
          <w:sz w:val="14"/>
          <w:szCs w:val="14"/>
        </w:rPr>
        <w:tab/>
      </w:r>
    </w:p>
    <w:p w:rsidR="00C86377" w:rsidRDefault="00C86377" w:rsidP="005F4682">
      <w:pPr>
        <w:tabs>
          <w:tab w:val="left" w:pos="360"/>
          <w:tab w:val="left" w:leader="dot" w:pos="8820"/>
        </w:tabs>
        <w:rPr>
          <w:sz w:val="22"/>
          <w:szCs w:val="22"/>
        </w:rPr>
      </w:pPr>
      <w:r>
        <w:rPr>
          <w:sz w:val="22"/>
          <w:szCs w:val="22"/>
        </w:rPr>
        <w:tab/>
        <w:t>5. El</w:t>
      </w:r>
      <w:r w:rsidR="00EC7E07">
        <w:rPr>
          <w:sz w:val="22"/>
          <w:szCs w:val="22"/>
        </w:rPr>
        <w:t>igible Activities and Expenses</w:t>
      </w:r>
      <w:r w:rsidR="00EC7E07">
        <w:rPr>
          <w:sz w:val="22"/>
          <w:szCs w:val="22"/>
        </w:rPr>
        <w:tab/>
        <w:t>7</w:t>
      </w:r>
      <w:r>
        <w:rPr>
          <w:sz w:val="22"/>
          <w:szCs w:val="22"/>
        </w:rPr>
        <w:t xml:space="preserve"> </w:t>
      </w:r>
    </w:p>
    <w:p w:rsidR="0017538D" w:rsidRPr="008D14BB" w:rsidRDefault="0017538D" w:rsidP="00C86377">
      <w:pPr>
        <w:tabs>
          <w:tab w:val="left" w:leader="dot" w:pos="8820"/>
        </w:tabs>
        <w:ind w:left="1080"/>
        <w:rPr>
          <w:sz w:val="22"/>
          <w:szCs w:val="22"/>
        </w:rPr>
      </w:pPr>
      <w:r w:rsidRPr="008D14BB">
        <w:rPr>
          <w:sz w:val="22"/>
          <w:szCs w:val="22"/>
        </w:rPr>
        <w:t>Rent Assistance</w:t>
      </w:r>
      <w:r w:rsidR="002831C6" w:rsidRPr="008D14BB">
        <w:rPr>
          <w:sz w:val="22"/>
          <w:szCs w:val="22"/>
        </w:rPr>
        <w:tab/>
      </w:r>
      <w:r w:rsidR="004A15F7">
        <w:rPr>
          <w:sz w:val="22"/>
          <w:szCs w:val="22"/>
        </w:rPr>
        <w:t>9</w:t>
      </w:r>
    </w:p>
    <w:p w:rsidR="00C86377" w:rsidRDefault="00C86377" w:rsidP="00C86377">
      <w:pPr>
        <w:tabs>
          <w:tab w:val="left" w:pos="1800"/>
          <w:tab w:val="left" w:leader="dot" w:pos="8820"/>
        </w:tabs>
        <w:rPr>
          <w:sz w:val="22"/>
          <w:szCs w:val="22"/>
        </w:rPr>
      </w:pPr>
      <w:r>
        <w:rPr>
          <w:sz w:val="22"/>
          <w:szCs w:val="22"/>
        </w:rPr>
        <w:tab/>
        <w:t>Housing Stability Plan</w:t>
      </w:r>
      <w:r>
        <w:rPr>
          <w:sz w:val="22"/>
          <w:szCs w:val="22"/>
        </w:rPr>
        <w:tab/>
      </w:r>
      <w:r w:rsidR="004A15F7">
        <w:rPr>
          <w:sz w:val="22"/>
          <w:szCs w:val="22"/>
        </w:rPr>
        <w:t>9</w:t>
      </w:r>
    </w:p>
    <w:p w:rsidR="00C86377" w:rsidRDefault="00C86377" w:rsidP="00C86377">
      <w:pPr>
        <w:tabs>
          <w:tab w:val="left" w:pos="1800"/>
          <w:tab w:val="left" w:leader="dot" w:pos="8820"/>
        </w:tabs>
        <w:rPr>
          <w:sz w:val="22"/>
          <w:szCs w:val="22"/>
        </w:rPr>
      </w:pPr>
      <w:r>
        <w:rPr>
          <w:sz w:val="22"/>
          <w:szCs w:val="22"/>
        </w:rPr>
        <w:tab/>
        <w:t>Allowable Expenses</w:t>
      </w:r>
      <w:r>
        <w:rPr>
          <w:sz w:val="22"/>
          <w:szCs w:val="22"/>
        </w:rPr>
        <w:tab/>
      </w:r>
      <w:r w:rsidR="00C02B26">
        <w:rPr>
          <w:sz w:val="22"/>
          <w:szCs w:val="22"/>
        </w:rPr>
        <w:t>9</w:t>
      </w:r>
    </w:p>
    <w:p w:rsidR="00C56163" w:rsidRDefault="00C56163" w:rsidP="00C86377">
      <w:pPr>
        <w:tabs>
          <w:tab w:val="left" w:leader="dot" w:pos="8820"/>
        </w:tabs>
        <w:ind w:left="1440" w:firstLine="360"/>
        <w:rPr>
          <w:sz w:val="22"/>
          <w:szCs w:val="22"/>
        </w:rPr>
      </w:pPr>
      <w:r>
        <w:rPr>
          <w:sz w:val="22"/>
          <w:szCs w:val="22"/>
        </w:rPr>
        <w:t xml:space="preserve">Allowable </w:t>
      </w:r>
      <w:r w:rsidR="00C86377">
        <w:rPr>
          <w:sz w:val="22"/>
          <w:szCs w:val="22"/>
        </w:rPr>
        <w:t xml:space="preserve">Rent Assistance </w:t>
      </w:r>
      <w:r>
        <w:rPr>
          <w:sz w:val="22"/>
          <w:szCs w:val="22"/>
        </w:rPr>
        <w:t>Models</w:t>
      </w:r>
      <w:r>
        <w:rPr>
          <w:sz w:val="22"/>
          <w:szCs w:val="22"/>
        </w:rPr>
        <w:tab/>
      </w:r>
      <w:r w:rsidR="00C02B26">
        <w:rPr>
          <w:sz w:val="22"/>
          <w:szCs w:val="22"/>
        </w:rPr>
        <w:t>11</w:t>
      </w:r>
    </w:p>
    <w:p w:rsidR="00547CEB" w:rsidRDefault="00547CEB" w:rsidP="00C86377">
      <w:pPr>
        <w:tabs>
          <w:tab w:val="left" w:leader="dot" w:pos="8820"/>
        </w:tabs>
        <w:ind w:left="1440" w:firstLine="360"/>
        <w:rPr>
          <w:sz w:val="22"/>
          <w:szCs w:val="22"/>
        </w:rPr>
      </w:pPr>
      <w:r>
        <w:rPr>
          <w:sz w:val="22"/>
          <w:szCs w:val="22"/>
        </w:rPr>
        <w:t>Lease Requirement</w:t>
      </w:r>
      <w:r w:rsidR="00C86377">
        <w:rPr>
          <w:sz w:val="22"/>
          <w:szCs w:val="22"/>
        </w:rPr>
        <w:t>s</w:t>
      </w:r>
      <w:r>
        <w:rPr>
          <w:sz w:val="22"/>
          <w:szCs w:val="22"/>
        </w:rPr>
        <w:tab/>
      </w:r>
      <w:r w:rsidR="00C86377">
        <w:rPr>
          <w:sz w:val="22"/>
          <w:szCs w:val="22"/>
        </w:rPr>
        <w:t>1</w:t>
      </w:r>
      <w:r w:rsidR="00AD1E89">
        <w:rPr>
          <w:sz w:val="22"/>
          <w:szCs w:val="22"/>
        </w:rPr>
        <w:t>2</w:t>
      </w:r>
    </w:p>
    <w:p w:rsidR="00F94F0F" w:rsidRPr="008D14BB" w:rsidRDefault="00F94F0F" w:rsidP="00C86377">
      <w:pPr>
        <w:tabs>
          <w:tab w:val="left" w:leader="dot" w:pos="8820"/>
        </w:tabs>
        <w:ind w:left="1440" w:firstLine="360"/>
        <w:rPr>
          <w:sz w:val="22"/>
          <w:szCs w:val="22"/>
        </w:rPr>
      </w:pPr>
      <w:r w:rsidRPr="008D14BB">
        <w:rPr>
          <w:sz w:val="22"/>
          <w:szCs w:val="22"/>
        </w:rPr>
        <w:t>Rent Reasonableness</w:t>
      </w:r>
      <w:r w:rsidRPr="008D14BB">
        <w:rPr>
          <w:sz w:val="22"/>
          <w:szCs w:val="22"/>
        </w:rPr>
        <w:tab/>
      </w:r>
      <w:r w:rsidR="00C02B26">
        <w:rPr>
          <w:sz w:val="22"/>
          <w:szCs w:val="22"/>
        </w:rPr>
        <w:t>12</w:t>
      </w:r>
    </w:p>
    <w:p w:rsidR="00650E95" w:rsidRPr="008D14BB" w:rsidRDefault="00F94F0F" w:rsidP="00C86377">
      <w:pPr>
        <w:tabs>
          <w:tab w:val="left" w:leader="dot" w:pos="8820"/>
        </w:tabs>
        <w:ind w:left="1440" w:firstLine="360"/>
        <w:rPr>
          <w:sz w:val="22"/>
          <w:szCs w:val="22"/>
        </w:rPr>
      </w:pPr>
      <w:r w:rsidRPr="008D14BB">
        <w:rPr>
          <w:sz w:val="22"/>
          <w:szCs w:val="22"/>
        </w:rPr>
        <w:t>Rent Limit/Payment Standard</w:t>
      </w:r>
      <w:r w:rsidRPr="008D14BB">
        <w:rPr>
          <w:sz w:val="22"/>
          <w:szCs w:val="22"/>
        </w:rPr>
        <w:tab/>
      </w:r>
      <w:r w:rsidR="004A15F7">
        <w:rPr>
          <w:sz w:val="22"/>
          <w:szCs w:val="22"/>
        </w:rPr>
        <w:t>13</w:t>
      </w:r>
    </w:p>
    <w:p w:rsidR="00F94F0F" w:rsidRPr="008D14BB" w:rsidRDefault="00C86377" w:rsidP="00C86377">
      <w:pPr>
        <w:tabs>
          <w:tab w:val="left" w:leader="dot" w:pos="8820"/>
        </w:tabs>
        <w:ind w:left="1440" w:firstLine="360"/>
        <w:rPr>
          <w:sz w:val="22"/>
          <w:szCs w:val="22"/>
        </w:rPr>
      </w:pPr>
      <w:r>
        <w:rPr>
          <w:sz w:val="22"/>
          <w:szCs w:val="22"/>
        </w:rPr>
        <w:t>Housing Inspections</w:t>
      </w:r>
      <w:r w:rsidR="00F94F0F" w:rsidRPr="008D14BB">
        <w:rPr>
          <w:sz w:val="22"/>
          <w:szCs w:val="22"/>
        </w:rPr>
        <w:tab/>
      </w:r>
      <w:r w:rsidR="00C02B26">
        <w:rPr>
          <w:sz w:val="22"/>
          <w:szCs w:val="22"/>
        </w:rPr>
        <w:t>13</w:t>
      </w:r>
    </w:p>
    <w:p w:rsidR="00F94F0F" w:rsidRPr="008D14BB" w:rsidRDefault="00C86377" w:rsidP="00C86377">
      <w:pPr>
        <w:tabs>
          <w:tab w:val="left" w:leader="dot" w:pos="8820"/>
        </w:tabs>
        <w:ind w:left="1440" w:firstLine="360"/>
        <w:rPr>
          <w:sz w:val="22"/>
          <w:szCs w:val="22"/>
        </w:rPr>
      </w:pPr>
      <w:r>
        <w:rPr>
          <w:sz w:val="22"/>
          <w:szCs w:val="22"/>
        </w:rPr>
        <w:t xml:space="preserve">Lead-Based Paint </w:t>
      </w:r>
      <w:r w:rsidR="00E16653">
        <w:rPr>
          <w:sz w:val="22"/>
          <w:szCs w:val="22"/>
        </w:rPr>
        <w:t>Visual Assessments</w:t>
      </w:r>
      <w:r w:rsidR="00F94F0F" w:rsidRPr="008D14BB">
        <w:rPr>
          <w:sz w:val="22"/>
          <w:szCs w:val="22"/>
        </w:rPr>
        <w:tab/>
      </w:r>
      <w:r w:rsidR="004A15F7">
        <w:rPr>
          <w:sz w:val="22"/>
          <w:szCs w:val="22"/>
        </w:rPr>
        <w:t>14</w:t>
      </w:r>
    </w:p>
    <w:p w:rsidR="00F94F0F" w:rsidRDefault="00C86377" w:rsidP="00C86377">
      <w:pPr>
        <w:tabs>
          <w:tab w:val="left" w:leader="dot" w:pos="8820"/>
        </w:tabs>
        <w:ind w:left="1440" w:firstLine="360"/>
        <w:rPr>
          <w:sz w:val="22"/>
          <w:szCs w:val="22"/>
        </w:rPr>
      </w:pPr>
      <w:r>
        <w:rPr>
          <w:sz w:val="22"/>
          <w:szCs w:val="22"/>
        </w:rPr>
        <w:t xml:space="preserve">Exceptions to </w:t>
      </w:r>
      <w:r w:rsidR="001602FA">
        <w:rPr>
          <w:sz w:val="22"/>
          <w:szCs w:val="22"/>
        </w:rPr>
        <w:t xml:space="preserve">the </w:t>
      </w:r>
      <w:r>
        <w:rPr>
          <w:sz w:val="22"/>
          <w:szCs w:val="22"/>
        </w:rPr>
        <w:t xml:space="preserve">Lead-Based Paint </w:t>
      </w:r>
      <w:r w:rsidR="00E16653">
        <w:rPr>
          <w:sz w:val="22"/>
          <w:szCs w:val="22"/>
        </w:rPr>
        <w:t>Visual Assessment</w:t>
      </w:r>
      <w:r>
        <w:rPr>
          <w:sz w:val="22"/>
          <w:szCs w:val="22"/>
        </w:rPr>
        <w:t xml:space="preserve"> Requirements</w:t>
      </w:r>
      <w:r w:rsidR="00F94F0F" w:rsidRPr="008D14BB">
        <w:rPr>
          <w:sz w:val="22"/>
          <w:szCs w:val="22"/>
        </w:rPr>
        <w:tab/>
      </w:r>
      <w:r w:rsidR="00067034">
        <w:rPr>
          <w:sz w:val="22"/>
          <w:szCs w:val="22"/>
        </w:rPr>
        <w:t>1</w:t>
      </w:r>
      <w:r w:rsidR="00AA534E">
        <w:rPr>
          <w:sz w:val="22"/>
          <w:szCs w:val="22"/>
        </w:rPr>
        <w:t>4</w:t>
      </w:r>
    </w:p>
    <w:p w:rsidR="00331EA9" w:rsidRDefault="002831C6" w:rsidP="00682291">
      <w:pPr>
        <w:tabs>
          <w:tab w:val="left" w:leader="dot" w:pos="8820"/>
        </w:tabs>
        <w:ind w:left="720" w:firstLine="360"/>
        <w:rPr>
          <w:sz w:val="22"/>
          <w:szCs w:val="22"/>
        </w:rPr>
      </w:pPr>
      <w:r w:rsidRPr="00BA0714">
        <w:rPr>
          <w:sz w:val="22"/>
          <w:szCs w:val="22"/>
        </w:rPr>
        <w:t>Facility</w:t>
      </w:r>
      <w:r w:rsidR="00C56163" w:rsidRPr="00BA0714">
        <w:rPr>
          <w:sz w:val="22"/>
          <w:szCs w:val="22"/>
        </w:rPr>
        <w:t xml:space="preserve"> Support</w:t>
      </w:r>
      <w:r w:rsidR="00F94F0F" w:rsidRPr="008D14BB">
        <w:rPr>
          <w:sz w:val="22"/>
          <w:szCs w:val="22"/>
        </w:rPr>
        <w:tab/>
      </w:r>
      <w:r w:rsidR="004A15F7">
        <w:rPr>
          <w:sz w:val="22"/>
          <w:szCs w:val="22"/>
        </w:rPr>
        <w:t>14</w:t>
      </w:r>
    </w:p>
    <w:p w:rsidR="007818F5" w:rsidRDefault="007818F5" w:rsidP="007818F5">
      <w:pPr>
        <w:tabs>
          <w:tab w:val="left" w:leader="dot" w:pos="8820"/>
        </w:tabs>
        <w:ind w:left="720" w:firstLine="1080"/>
        <w:rPr>
          <w:sz w:val="22"/>
          <w:szCs w:val="22"/>
        </w:rPr>
      </w:pPr>
      <w:r>
        <w:rPr>
          <w:sz w:val="22"/>
          <w:szCs w:val="22"/>
        </w:rPr>
        <w:t>Housing Stability Plan</w:t>
      </w:r>
      <w:r>
        <w:rPr>
          <w:sz w:val="22"/>
          <w:szCs w:val="22"/>
        </w:rPr>
        <w:tab/>
        <w:t>1</w:t>
      </w:r>
      <w:r w:rsidR="004A15F7">
        <w:rPr>
          <w:sz w:val="22"/>
          <w:szCs w:val="22"/>
        </w:rPr>
        <w:t>5</w:t>
      </w:r>
    </w:p>
    <w:p w:rsidR="007818F5" w:rsidRDefault="007818F5" w:rsidP="007818F5">
      <w:pPr>
        <w:tabs>
          <w:tab w:val="left" w:leader="dot" w:pos="8820"/>
        </w:tabs>
        <w:ind w:left="720" w:firstLine="1080"/>
        <w:rPr>
          <w:sz w:val="22"/>
          <w:szCs w:val="22"/>
        </w:rPr>
      </w:pPr>
      <w:r>
        <w:rPr>
          <w:sz w:val="22"/>
          <w:szCs w:val="22"/>
        </w:rPr>
        <w:t>Allowable Expenses</w:t>
      </w:r>
      <w:r>
        <w:rPr>
          <w:sz w:val="22"/>
          <w:szCs w:val="22"/>
        </w:rPr>
        <w:tab/>
        <w:t>1</w:t>
      </w:r>
      <w:r w:rsidR="00AA534E">
        <w:rPr>
          <w:sz w:val="22"/>
          <w:szCs w:val="22"/>
        </w:rPr>
        <w:t>5</w:t>
      </w:r>
    </w:p>
    <w:p w:rsidR="007818F5" w:rsidRDefault="004A15F7" w:rsidP="007818F5">
      <w:pPr>
        <w:tabs>
          <w:tab w:val="left" w:leader="dot" w:pos="8820"/>
        </w:tabs>
        <w:ind w:left="720" w:firstLine="1080"/>
        <w:rPr>
          <w:sz w:val="22"/>
          <w:szCs w:val="22"/>
        </w:rPr>
      </w:pPr>
      <w:r>
        <w:rPr>
          <w:sz w:val="22"/>
          <w:szCs w:val="22"/>
        </w:rPr>
        <w:t>Housing Inspections</w:t>
      </w:r>
      <w:r>
        <w:rPr>
          <w:sz w:val="22"/>
          <w:szCs w:val="22"/>
        </w:rPr>
        <w:tab/>
        <w:t>16</w:t>
      </w:r>
    </w:p>
    <w:p w:rsidR="007818F5" w:rsidRDefault="007818F5" w:rsidP="007818F5">
      <w:pPr>
        <w:tabs>
          <w:tab w:val="left" w:leader="dot" w:pos="8820"/>
        </w:tabs>
        <w:ind w:left="720" w:firstLine="1080"/>
        <w:rPr>
          <w:sz w:val="22"/>
          <w:szCs w:val="22"/>
        </w:rPr>
      </w:pPr>
      <w:r>
        <w:rPr>
          <w:sz w:val="22"/>
          <w:szCs w:val="22"/>
        </w:rPr>
        <w:t xml:space="preserve">Lead-Based Paint </w:t>
      </w:r>
      <w:r w:rsidR="00E16653">
        <w:rPr>
          <w:sz w:val="22"/>
          <w:szCs w:val="22"/>
        </w:rPr>
        <w:t>Visual Assessments</w:t>
      </w:r>
      <w:r>
        <w:rPr>
          <w:sz w:val="22"/>
          <w:szCs w:val="22"/>
        </w:rPr>
        <w:tab/>
        <w:t>1</w:t>
      </w:r>
      <w:r w:rsidR="00AA534E">
        <w:rPr>
          <w:sz w:val="22"/>
          <w:szCs w:val="22"/>
        </w:rPr>
        <w:t>6</w:t>
      </w:r>
    </w:p>
    <w:p w:rsidR="007818F5" w:rsidRDefault="007818F5" w:rsidP="007818F5">
      <w:pPr>
        <w:tabs>
          <w:tab w:val="left" w:leader="dot" w:pos="8820"/>
        </w:tabs>
        <w:ind w:left="720" w:firstLine="1080"/>
        <w:rPr>
          <w:sz w:val="22"/>
          <w:szCs w:val="22"/>
        </w:rPr>
      </w:pPr>
      <w:r>
        <w:rPr>
          <w:sz w:val="22"/>
          <w:szCs w:val="22"/>
        </w:rPr>
        <w:t>Exceptions to the Lead-Based P</w:t>
      </w:r>
      <w:r w:rsidR="00E16653">
        <w:rPr>
          <w:sz w:val="22"/>
          <w:szCs w:val="22"/>
        </w:rPr>
        <w:t>a</w:t>
      </w:r>
      <w:r>
        <w:rPr>
          <w:sz w:val="22"/>
          <w:szCs w:val="22"/>
        </w:rPr>
        <w:t xml:space="preserve">int </w:t>
      </w:r>
      <w:r w:rsidR="00E16653">
        <w:rPr>
          <w:sz w:val="22"/>
          <w:szCs w:val="22"/>
        </w:rPr>
        <w:t xml:space="preserve">Visual </w:t>
      </w:r>
      <w:r w:rsidR="001602FA">
        <w:rPr>
          <w:sz w:val="22"/>
          <w:szCs w:val="22"/>
        </w:rPr>
        <w:t>Assessment</w:t>
      </w:r>
      <w:r>
        <w:rPr>
          <w:sz w:val="22"/>
          <w:szCs w:val="22"/>
        </w:rPr>
        <w:t xml:space="preserve"> Requirements</w:t>
      </w:r>
      <w:r>
        <w:rPr>
          <w:sz w:val="22"/>
          <w:szCs w:val="22"/>
        </w:rPr>
        <w:tab/>
        <w:t>1</w:t>
      </w:r>
      <w:r w:rsidR="00AA534E">
        <w:rPr>
          <w:sz w:val="22"/>
          <w:szCs w:val="22"/>
        </w:rPr>
        <w:t>7</w:t>
      </w:r>
    </w:p>
    <w:p w:rsidR="00F94F0F" w:rsidRPr="008D14BB" w:rsidRDefault="00F94F0F" w:rsidP="007818F5">
      <w:pPr>
        <w:tabs>
          <w:tab w:val="left" w:leader="dot" w:pos="8820"/>
        </w:tabs>
        <w:ind w:left="1440" w:firstLine="360"/>
        <w:rPr>
          <w:sz w:val="22"/>
          <w:szCs w:val="22"/>
        </w:rPr>
      </w:pPr>
      <w:r w:rsidRPr="008D14BB">
        <w:rPr>
          <w:sz w:val="22"/>
          <w:szCs w:val="22"/>
        </w:rPr>
        <w:t xml:space="preserve">Maintenance </w:t>
      </w:r>
      <w:r w:rsidR="00D820E1">
        <w:rPr>
          <w:sz w:val="22"/>
          <w:szCs w:val="22"/>
        </w:rPr>
        <w:t>for Facility S</w:t>
      </w:r>
      <w:r w:rsidRPr="008D14BB">
        <w:rPr>
          <w:sz w:val="22"/>
          <w:szCs w:val="22"/>
        </w:rPr>
        <w:t>upport</w:t>
      </w:r>
      <w:r w:rsidRPr="008D14BB">
        <w:rPr>
          <w:sz w:val="22"/>
          <w:szCs w:val="22"/>
        </w:rPr>
        <w:tab/>
      </w:r>
      <w:r w:rsidR="00E24772">
        <w:rPr>
          <w:sz w:val="22"/>
          <w:szCs w:val="22"/>
        </w:rPr>
        <w:t>1</w:t>
      </w:r>
      <w:r w:rsidR="00AA534E">
        <w:rPr>
          <w:sz w:val="22"/>
          <w:szCs w:val="22"/>
        </w:rPr>
        <w:t>7</w:t>
      </w:r>
    </w:p>
    <w:p w:rsidR="0017538D" w:rsidRPr="008D14BB" w:rsidRDefault="002831C6" w:rsidP="00682291">
      <w:pPr>
        <w:tabs>
          <w:tab w:val="left" w:leader="dot" w:pos="8820"/>
        </w:tabs>
        <w:ind w:left="720" w:firstLine="360"/>
        <w:rPr>
          <w:sz w:val="22"/>
          <w:szCs w:val="22"/>
        </w:rPr>
      </w:pPr>
      <w:r w:rsidRPr="008D14BB">
        <w:rPr>
          <w:sz w:val="22"/>
          <w:szCs w:val="22"/>
        </w:rPr>
        <w:t xml:space="preserve">Program </w:t>
      </w:r>
      <w:r w:rsidR="0017538D" w:rsidRPr="008D14BB">
        <w:rPr>
          <w:sz w:val="22"/>
          <w:szCs w:val="22"/>
        </w:rPr>
        <w:t>Operations</w:t>
      </w:r>
      <w:r w:rsidRPr="008D14BB">
        <w:rPr>
          <w:sz w:val="22"/>
          <w:szCs w:val="22"/>
        </w:rPr>
        <w:tab/>
      </w:r>
      <w:r w:rsidR="00E24772">
        <w:rPr>
          <w:sz w:val="22"/>
          <w:szCs w:val="22"/>
        </w:rPr>
        <w:t>1</w:t>
      </w:r>
      <w:r w:rsidR="00AA534E">
        <w:rPr>
          <w:sz w:val="22"/>
          <w:szCs w:val="22"/>
        </w:rPr>
        <w:t>8</w:t>
      </w:r>
    </w:p>
    <w:p w:rsidR="00897798" w:rsidRDefault="00AB631F" w:rsidP="00AB631F">
      <w:pPr>
        <w:tabs>
          <w:tab w:val="left" w:pos="1800"/>
          <w:tab w:val="left" w:leader="dot" w:pos="8820"/>
        </w:tabs>
        <w:ind w:left="720" w:firstLine="720"/>
        <w:rPr>
          <w:sz w:val="22"/>
          <w:szCs w:val="22"/>
        </w:rPr>
      </w:pPr>
      <w:r>
        <w:rPr>
          <w:sz w:val="22"/>
          <w:szCs w:val="22"/>
        </w:rPr>
        <w:t xml:space="preserve">   </w:t>
      </w:r>
      <w:r>
        <w:rPr>
          <w:sz w:val="22"/>
          <w:szCs w:val="22"/>
        </w:rPr>
        <w:tab/>
        <w:t>Allowable Expenses</w:t>
      </w:r>
      <w:r w:rsidR="006925FB">
        <w:rPr>
          <w:sz w:val="22"/>
          <w:szCs w:val="22"/>
        </w:rPr>
        <w:tab/>
        <w:t>1</w:t>
      </w:r>
      <w:r w:rsidR="00AA534E">
        <w:rPr>
          <w:sz w:val="22"/>
          <w:szCs w:val="22"/>
        </w:rPr>
        <w:t>8</w:t>
      </w:r>
    </w:p>
    <w:p w:rsidR="0017538D" w:rsidRPr="008D14BB" w:rsidRDefault="0017538D" w:rsidP="00AB631F">
      <w:pPr>
        <w:tabs>
          <w:tab w:val="left" w:pos="1080"/>
          <w:tab w:val="left" w:leader="dot" w:pos="8820"/>
        </w:tabs>
        <w:ind w:left="720" w:firstLine="360"/>
        <w:rPr>
          <w:sz w:val="22"/>
          <w:szCs w:val="22"/>
        </w:rPr>
      </w:pPr>
      <w:r w:rsidRPr="008D14BB">
        <w:rPr>
          <w:sz w:val="22"/>
          <w:szCs w:val="22"/>
        </w:rPr>
        <w:t>Data Collection</w:t>
      </w:r>
      <w:r w:rsidR="00F94F0F" w:rsidRPr="008D14BB">
        <w:rPr>
          <w:sz w:val="22"/>
          <w:szCs w:val="22"/>
        </w:rPr>
        <w:t>, Evaluation and Planning</w:t>
      </w:r>
      <w:r w:rsidRPr="008D14BB">
        <w:rPr>
          <w:sz w:val="22"/>
          <w:szCs w:val="22"/>
        </w:rPr>
        <w:tab/>
      </w:r>
      <w:r w:rsidR="00AA534E">
        <w:rPr>
          <w:sz w:val="22"/>
          <w:szCs w:val="22"/>
        </w:rPr>
        <w:t>19</w:t>
      </w:r>
    </w:p>
    <w:p w:rsidR="0017538D" w:rsidRPr="008D14BB" w:rsidRDefault="00F94F0F" w:rsidP="00682291">
      <w:pPr>
        <w:tabs>
          <w:tab w:val="left" w:leader="dot" w:pos="8820"/>
        </w:tabs>
        <w:ind w:left="1080"/>
        <w:rPr>
          <w:sz w:val="22"/>
          <w:szCs w:val="22"/>
        </w:rPr>
      </w:pPr>
      <w:r w:rsidRPr="008D14BB">
        <w:rPr>
          <w:sz w:val="22"/>
          <w:szCs w:val="22"/>
        </w:rPr>
        <w:t>Administrati</w:t>
      </w:r>
      <w:r w:rsidR="00E16653">
        <w:rPr>
          <w:sz w:val="22"/>
          <w:szCs w:val="22"/>
        </w:rPr>
        <w:t>on</w:t>
      </w:r>
      <w:r w:rsidR="0017538D" w:rsidRPr="008D14BB">
        <w:rPr>
          <w:sz w:val="22"/>
          <w:szCs w:val="22"/>
        </w:rPr>
        <w:tab/>
      </w:r>
      <w:r w:rsidR="004A15F7">
        <w:rPr>
          <w:sz w:val="22"/>
          <w:szCs w:val="22"/>
        </w:rPr>
        <w:t>20</w:t>
      </w:r>
    </w:p>
    <w:p w:rsidR="00F94F0F" w:rsidRPr="00EA6537" w:rsidRDefault="00F94F0F" w:rsidP="00B25F84">
      <w:pPr>
        <w:tabs>
          <w:tab w:val="left" w:leader="dot" w:pos="8820"/>
        </w:tabs>
        <w:rPr>
          <w:sz w:val="14"/>
          <w:szCs w:val="14"/>
        </w:rPr>
      </w:pPr>
    </w:p>
    <w:p w:rsidR="00F94F0F" w:rsidRDefault="00B25F84" w:rsidP="005F4682">
      <w:pPr>
        <w:pStyle w:val="ListParagraph"/>
        <w:tabs>
          <w:tab w:val="left" w:pos="630"/>
          <w:tab w:val="left" w:leader="dot" w:pos="8820"/>
        </w:tabs>
        <w:ind w:left="360"/>
        <w:rPr>
          <w:sz w:val="22"/>
          <w:szCs w:val="22"/>
        </w:rPr>
      </w:pPr>
      <w:r>
        <w:rPr>
          <w:sz w:val="22"/>
          <w:szCs w:val="22"/>
        </w:rPr>
        <w:t>6</w:t>
      </w:r>
      <w:r w:rsidR="00463695">
        <w:rPr>
          <w:sz w:val="22"/>
          <w:szCs w:val="22"/>
        </w:rPr>
        <w:t xml:space="preserve">. </w:t>
      </w:r>
      <w:r w:rsidR="00F94F0F">
        <w:rPr>
          <w:sz w:val="22"/>
          <w:szCs w:val="22"/>
        </w:rPr>
        <w:t xml:space="preserve">Termination of Participation, </w:t>
      </w:r>
      <w:r w:rsidR="00EC5730">
        <w:rPr>
          <w:sz w:val="22"/>
          <w:szCs w:val="22"/>
        </w:rPr>
        <w:t xml:space="preserve">Applicant </w:t>
      </w:r>
      <w:r w:rsidR="00F94F0F">
        <w:rPr>
          <w:sz w:val="22"/>
          <w:szCs w:val="22"/>
        </w:rPr>
        <w:t>Denial</w:t>
      </w:r>
      <w:r w:rsidR="00976C5F">
        <w:rPr>
          <w:sz w:val="22"/>
          <w:szCs w:val="22"/>
        </w:rPr>
        <w:t>,</w:t>
      </w:r>
      <w:r w:rsidR="00F94F0F">
        <w:rPr>
          <w:sz w:val="22"/>
          <w:szCs w:val="22"/>
        </w:rPr>
        <w:t xml:space="preserve"> and Grievance</w:t>
      </w:r>
      <w:r w:rsidR="00F94F0F">
        <w:rPr>
          <w:sz w:val="22"/>
          <w:szCs w:val="22"/>
        </w:rPr>
        <w:tab/>
      </w:r>
      <w:r w:rsidR="004A15F7">
        <w:rPr>
          <w:sz w:val="22"/>
          <w:szCs w:val="22"/>
        </w:rPr>
        <w:t>21</w:t>
      </w:r>
    </w:p>
    <w:p w:rsidR="00F94F0F" w:rsidRPr="00EA6537" w:rsidRDefault="00F94F0F" w:rsidP="00F94F0F">
      <w:pPr>
        <w:tabs>
          <w:tab w:val="left" w:leader="dot" w:pos="8820"/>
        </w:tabs>
        <w:rPr>
          <w:sz w:val="14"/>
          <w:szCs w:val="14"/>
        </w:rPr>
      </w:pPr>
    </w:p>
    <w:p w:rsidR="006F7AED" w:rsidRDefault="00B25F84" w:rsidP="006F7AED">
      <w:pPr>
        <w:pStyle w:val="ListParagraph"/>
        <w:tabs>
          <w:tab w:val="left" w:leader="dot" w:pos="8820"/>
        </w:tabs>
        <w:ind w:left="360"/>
        <w:rPr>
          <w:sz w:val="22"/>
          <w:szCs w:val="22"/>
        </w:rPr>
      </w:pPr>
      <w:r>
        <w:rPr>
          <w:sz w:val="22"/>
          <w:szCs w:val="22"/>
        </w:rPr>
        <w:t>7</w:t>
      </w:r>
      <w:r w:rsidR="00463695">
        <w:rPr>
          <w:sz w:val="22"/>
          <w:szCs w:val="22"/>
        </w:rPr>
        <w:t xml:space="preserve">. </w:t>
      </w:r>
      <w:r w:rsidR="006F7AED">
        <w:rPr>
          <w:sz w:val="22"/>
          <w:szCs w:val="22"/>
        </w:rPr>
        <w:t>Confidentiality of Client Records</w:t>
      </w:r>
      <w:r w:rsidR="006F7AED">
        <w:rPr>
          <w:sz w:val="22"/>
          <w:szCs w:val="22"/>
        </w:rPr>
        <w:tab/>
      </w:r>
      <w:r w:rsidR="00D807DF">
        <w:rPr>
          <w:sz w:val="22"/>
          <w:szCs w:val="22"/>
        </w:rPr>
        <w:t>2</w:t>
      </w:r>
      <w:r w:rsidR="00AA534E">
        <w:rPr>
          <w:sz w:val="22"/>
          <w:szCs w:val="22"/>
        </w:rPr>
        <w:t>1</w:t>
      </w:r>
    </w:p>
    <w:p w:rsidR="006F7AED" w:rsidRPr="00EA6537" w:rsidRDefault="006F7AED" w:rsidP="00463695">
      <w:pPr>
        <w:pStyle w:val="ListParagraph"/>
        <w:tabs>
          <w:tab w:val="left" w:leader="dot" w:pos="8820"/>
        </w:tabs>
        <w:ind w:left="360"/>
        <w:rPr>
          <w:sz w:val="14"/>
          <w:szCs w:val="14"/>
        </w:rPr>
      </w:pPr>
    </w:p>
    <w:p w:rsidR="0017538D" w:rsidRDefault="005F4682" w:rsidP="005F4682">
      <w:pPr>
        <w:pStyle w:val="ListParagraph"/>
        <w:tabs>
          <w:tab w:val="left" w:leader="dot" w:pos="8820"/>
        </w:tabs>
        <w:ind w:left="360"/>
        <w:rPr>
          <w:sz w:val="22"/>
          <w:szCs w:val="22"/>
        </w:rPr>
      </w:pPr>
      <w:r>
        <w:rPr>
          <w:sz w:val="22"/>
          <w:szCs w:val="22"/>
        </w:rPr>
        <w:t>8</w:t>
      </w:r>
      <w:r w:rsidR="006F7AED">
        <w:rPr>
          <w:sz w:val="22"/>
          <w:szCs w:val="22"/>
        </w:rPr>
        <w:t>.</w:t>
      </w:r>
      <w:r>
        <w:rPr>
          <w:sz w:val="22"/>
          <w:szCs w:val="22"/>
        </w:rPr>
        <w:t xml:space="preserve"> </w:t>
      </w:r>
      <w:r w:rsidR="00927A24">
        <w:rPr>
          <w:sz w:val="22"/>
          <w:szCs w:val="22"/>
        </w:rPr>
        <w:t>Washington Residential Landlord-Tenant Act</w:t>
      </w:r>
      <w:r w:rsidR="0017538D">
        <w:rPr>
          <w:sz w:val="22"/>
          <w:szCs w:val="22"/>
        </w:rPr>
        <w:tab/>
      </w:r>
      <w:r w:rsidR="006D34FE">
        <w:rPr>
          <w:sz w:val="22"/>
          <w:szCs w:val="22"/>
        </w:rPr>
        <w:t>2</w:t>
      </w:r>
      <w:r w:rsidR="00AA534E">
        <w:rPr>
          <w:sz w:val="22"/>
          <w:szCs w:val="22"/>
        </w:rPr>
        <w:t>1</w:t>
      </w:r>
    </w:p>
    <w:p w:rsidR="0017538D" w:rsidRPr="00EA6537" w:rsidRDefault="0017538D">
      <w:pPr>
        <w:pStyle w:val="ListParagraph"/>
        <w:rPr>
          <w:sz w:val="14"/>
          <w:szCs w:val="14"/>
        </w:rPr>
      </w:pPr>
    </w:p>
    <w:p w:rsidR="0017538D" w:rsidRDefault="005F4682" w:rsidP="005F4682">
      <w:pPr>
        <w:pStyle w:val="ListParagraph"/>
        <w:tabs>
          <w:tab w:val="left" w:leader="dot" w:pos="8820"/>
        </w:tabs>
        <w:ind w:left="360"/>
        <w:rPr>
          <w:sz w:val="20"/>
          <w:szCs w:val="20"/>
        </w:rPr>
      </w:pPr>
      <w:r>
        <w:rPr>
          <w:sz w:val="22"/>
          <w:szCs w:val="22"/>
        </w:rPr>
        <w:t>9</w:t>
      </w:r>
      <w:r w:rsidR="006F7AED">
        <w:rPr>
          <w:sz w:val="22"/>
          <w:szCs w:val="22"/>
        </w:rPr>
        <w:t xml:space="preserve">. </w:t>
      </w:r>
      <w:r w:rsidR="00F94F0F">
        <w:rPr>
          <w:sz w:val="22"/>
          <w:szCs w:val="22"/>
        </w:rPr>
        <w:t>Changes to Guidelines</w:t>
      </w:r>
      <w:r w:rsidR="0017538D">
        <w:rPr>
          <w:sz w:val="22"/>
          <w:szCs w:val="22"/>
        </w:rPr>
        <w:tab/>
      </w:r>
      <w:r w:rsidR="004A15F7">
        <w:rPr>
          <w:sz w:val="22"/>
          <w:szCs w:val="22"/>
        </w:rPr>
        <w:t>22</w:t>
      </w:r>
    </w:p>
    <w:p w:rsidR="0017538D" w:rsidRPr="00EA6537" w:rsidRDefault="00E24772" w:rsidP="00777E15">
      <w:pPr>
        <w:rPr>
          <w:sz w:val="14"/>
          <w:szCs w:val="14"/>
        </w:rPr>
      </w:pPr>
      <w:r>
        <w:rPr>
          <w:sz w:val="14"/>
          <w:szCs w:val="14"/>
        </w:rPr>
        <w:br w:type="page"/>
      </w:r>
    </w:p>
    <w:p w:rsidR="000E5543" w:rsidRDefault="000E5543" w:rsidP="00D14651">
      <w:pPr>
        <w:tabs>
          <w:tab w:val="left" w:leader="dot" w:pos="8827"/>
        </w:tabs>
        <w:spacing w:after="120"/>
        <w:ind w:left="360"/>
        <w:rPr>
          <w:sz w:val="22"/>
          <w:szCs w:val="22"/>
        </w:rPr>
      </w:pPr>
      <w:r>
        <w:rPr>
          <w:sz w:val="22"/>
          <w:szCs w:val="22"/>
        </w:rPr>
        <w:lastRenderedPageBreak/>
        <w:t xml:space="preserve">Appendix </w:t>
      </w:r>
      <w:r w:rsidR="00F94F0F">
        <w:rPr>
          <w:sz w:val="22"/>
          <w:szCs w:val="22"/>
        </w:rPr>
        <w:t xml:space="preserve">A </w:t>
      </w:r>
      <w:r w:rsidR="00AA534E">
        <w:rPr>
          <w:sz w:val="22"/>
          <w:szCs w:val="22"/>
        </w:rPr>
        <w:t>–</w:t>
      </w:r>
      <w:r w:rsidR="00F94F0F">
        <w:rPr>
          <w:sz w:val="22"/>
          <w:szCs w:val="22"/>
        </w:rPr>
        <w:t xml:space="preserve"> </w:t>
      </w:r>
      <w:r w:rsidR="00AA534E">
        <w:rPr>
          <w:sz w:val="22"/>
          <w:szCs w:val="22"/>
        </w:rPr>
        <w:t>Overview of Required Documents</w:t>
      </w:r>
      <w:r>
        <w:rPr>
          <w:sz w:val="22"/>
          <w:szCs w:val="22"/>
        </w:rPr>
        <w:tab/>
      </w:r>
      <w:r w:rsidR="004A15F7">
        <w:rPr>
          <w:sz w:val="22"/>
          <w:szCs w:val="22"/>
        </w:rPr>
        <w:t>23</w:t>
      </w:r>
    </w:p>
    <w:p w:rsidR="001A07DE" w:rsidRDefault="000E5543" w:rsidP="00D14651">
      <w:pPr>
        <w:tabs>
          <w:tab w:val="left" w:leader="dot" w:pos="8827"/>
        </w:tabs>
        <w:spacing w:after="120"/>
        <w:ind w:left="360"/>
        <w:rPr>
          <w:sz w:val="22"/>
          <w:szCs w:val="22"/>
        </w:rPr>
      </w:pPr>
      <w:r>
        <w:rPr>
          <w:sz w:val="22"/>
          <w:szCs w:val="22"/>
        </w:rPr>
        <w:t xml:space="preserve">Appendix </w:t>
      </w:r>
      <w:r w:rsidR="00F94F0F">
        <w:rPr>
          <w:sz w:val="22"/>
          <w:szCs w:val="22"/>
        </w:rPr>
        <w:t xml:space="preserve">B </w:t>
      </w:r>
      <w:r w:rsidR="00AA534E">
        <w:rPr>
          <w:sz w:val="22"/>
          <w:szCs w:val="22"/>
        </w:rPr>
        <w:t>–</w:t>
      </w:r>
      <w:r w:rsidR="00F94F0F">
        <w:rPr>
          <w:sz w:val="22"/>
          <w:szCs w:val="22"/>
        </w:rPr>
        <w:t xml:space="preserve"> </w:t>
      </w:r>
      <w:r w:rsidR="00AA534E">
        <w:rPr>
          <w:sz w:val="22"/>
          <w:szCs w:val="22"/>
        </w:rPr>
        <w:t>Housing Status Documentation</w:t>
      </w:r>
      <w:r>
        <w:rPr>
          <w:sz w:val="22"/>
          <w:szCs w:val="22"/>
        </w:rPr>
        <w:tab/>
      </w:r>
      <w:r w:rsidR="007B3A0E">
        <w:rPr>
          <w:sz w:val="22"/>
          <w:szCs w:val="22"/>
        </w:rPr>
        <w:t>2</w:t>
      </w:r>
      <w:r w:rsidR="004A15F7">
        <w:rPr>
          <w:sz w:val="22"/>
          <w:szCs w:val="22"/>
        </w:rPr>
        <w:t>4</w:t>
      </w:r>
    </w:p>
    <w:p w:rsidR="000D4DAF" w:rsidRDefault="00BD5707" w:rsidP="00D14651">
      <w:pPr>
        <w:tabs>
          <w:tab w:val="left" w:leader="dot" w:pos="8827"/>
        </w:tabs>
        <w:spacing w:after="120"/>
        <w:ind w:left="360"/>
        <w:rPr>
          <w:sz w:val="22"/>
          <w:szCs w:val="22"/>
        </w:rPr>
      </w:pPr>
      <w:r>
        <w:rPr>
          <w:sz w:val="22"/>
          <w:szCs w:val="22"/>
        </w:rPr>
        <w:t xml:space="preserve">Appendix C </w:t>
      </w:r>
      <w:r w:rsidR="00AA534E">
        <w:rPr>
          <w:sz w:val="22"/>
          <w:szCs w:val="22"/>
        </w:rPr>
        <w:t>– Income Eligibility Documentation Standards</w:t>
      </w:r>
      <w:r w:rsidR="000B085B">
        <w:rPr>
          <w:sz w:val="22"/>
          <w:szCs w:val="22"/>
        </w:rPr>
        <w:tab/>
        <w:t>2</w:t>
      </w:r>
      <w:r w:rsidR="004A15F7">
        <w:rPr>
          <w:sz w:val="22"/>
          <w:szCs w:val="22"/>
        </w:rPr>
        <w:t>5</w:t>
      </w:r>
    </w:p>
    <w:p w:rsidR="00AA534E" w:rsidRDefault="00AA534E" w:rsidP="00AA534E">
      <w:pPr>
        <w:tabs>
          <w:tab w:val="left" w:leader="dot" w:pos="8827"/>
        </w:tabs>
        <w:spacing w:after="120"/>
        <w:ind w:left="360"/>
        <w:rPr>
          <w:sz w:val="22"/>
          <w:szCs w:val="22"/>
        </w:rPr>
      </w:pPr>
      <w:r>
        <w:rPr>
          <w:sz w:val="22"/>
          <w:szCs w:val="22"/>
        </w:rPr>
        <w:t>Appendix D - Rent Reasonabl</w:t>
      </w:r>
      <w:r w:rsidR="004A15F7">
        <w:rPr>
          <w:sz w:val="22"/>
          <w:szCs w:val="22"/>
        </w:rPr>
        <w:t>eness Documentation Standards</w:t>
      </w:r>
      <w:r w:rsidR="004A15F7">
        <w:rPr>
          <w:sz w:val="22"/>
          <w:szCs w:val="22"/>
        </w:rPr>
        <w:tab/>
        <w:t>32</w:t>
      </w:r>
    </w:p>
    <w:p w:rsidR="00AC01BA" w:rsidRDefault="00BD5707" w:rsidP="001F2F43">
      <w:pPr>
        <w:tabs>
          <w:tab w:val="left" w:leader="dot" w:pos="8827"/>
        </w:tabs>
        <w:ind w:left="360"/>
        <w:rPr>
          <w:bCs/>
          <w:sz w:val="22"/>
          <w:szCs w:val="22"/>
        </w:rPr>
      </w:pPr>
      <w:r>
        <w:rPr>
          <w:sz w:val="22"/>
          <w:szCs w:val="22"/>
        </w:rPr>
        <w:t>Ap</w:t>
      </w:r>
      <w:r w:rsidR="00AA534E">
        <w:rPr>
          <w:sz w:val="22"/>
          <w:szCs w:val="22"/>
        </w:rPr>
        <w:t>pendix E</w:t>
      </w:r>
      <w:r>
        <w:rPr>
          <w:sz w:val="22"/>
          <w:szCs w:val="22"/>
        </w:rPr>
        <w:t xml:space="preserve"> - </w:t>
      </w:r>
      <w:r w:rsidRPr="00027588">
        <w:rPr>
          <w:bCs/>
          <w:sz w:val="22"/>
          <w:szCs w:val="22"/>
        </w:rPr>
        <w:t>Step by Step Guide to Compliance with Lead</w:t>
      </w:r>
      <w:r w:rsidR="00AC01BA">
        <w:rPr>
          <w:bCs/>
          <w:sz w:val="22"/>
          <w:szCs w:val="22"/>
        </w:rPr>
        <w:t>-</w:t>
      </w:r>
      <w:r w:rsidRPr="00027588">
        <w:rPr>
          <w:bCs/>
          <w:sz w:val="22"/>
          <w:szCs w:val="22"/>
        </w:rPr>
        <w:t xml:space="preserve">Based </w:t>
      </w:r>
      <w:r w:rsidR="00DD71F5">
        <w:rPr>
          <w:bCs/>
          <w:sz w:val="22"/>
          <w:szCs w:val="22"/>
        </w:rPr>
        <w:t xml:space="preserve">Paint </w:t>
      </w:r>
      <w:r w:rsidR="00AC01BA">
        <w:rPr>
          <w:bCs/>
          <w:sz w:val="22"/>
          <w:szCs w:val="22"/>
        </w:rPr>
        <w:t>Visual Assessment</w:t>
      </w:r>
    </w:p>
    <w:p w:rsidR="00BD5707" w:rsidRPr="00BD5707" w:rsidRDefault="00BD5707" w:rsidP="001F2F43">
      <w:pPr>
        <w:tabs>
          <w:tab w:val="left" w:leader="dot" w:pos="8827"/>
        </w:tabs>
        <w:ind w:left="1620"/>
        <w:rPr>
          <w:bCs/>
        </w:rPr>
      </w:pPr>
      <w:r w:rsidRPr="00027588">
        <w:rPr>
          <w:bCs/>
          <w:sz w:val="22"/>
          <w:szCs w:val="22"/>
        </w:rPr>
        <w:t>Requirement</w:t>
      </w:r>
      <w:r w:rsidR="00943DB6" w:rsidRPr="00027588">
        <w:rPr>
          <w:bCs/>
          <w:sz w:val="22"/>
          <w:szCs w:val="22"/>
        </w:rPr>
        <w:t>s</w:t>
      </w:r>
      <w:r w:rsidR="000B085B">
        <w:rPr>
          <w:bCs/>
        </w:rPr>
        <w:tab/>
      </w:r>
      <w:r w:rsidR="00586C62" w:rsidRPr="00AD1E89">
        <w:rPr>
          <w:bCs/>
          <w:sz w:val="22"/>
          <w:szCs w:val="22"/>
        </w:rPr>
        <w:t>3</w:t>
      </w:r>
      <w:r w:rsidR="004A15F7">
        <w:rPr>
          <w:bCs/>
          <w:sz w:val="22"/>
          <w:szCs w:val="22"/>
        </w:rPr>
        <w:t>6</w:t>
      </w:r>
    </w:p>
    <w:p w:rsidR="00BD5707" w:rsidRPr="00897798" w:rsidRDefault="00BD5707" w:rsidP="00897798">
      <w:pPr>
        <w:tabs>
          <w:tab w:val="left" w:leader="dot" w:pos="8827"/>
        </w:tabs>
        <w:rPr>
          <w:sz w:val="22"/>
          <w:szCs w:val="22"/>
        </w:rPr>
      </w:pPr>
    </w:p>
    <w:p w:rsidR="001A07DE" w:rsidRDefault="001A07DE" w:rsidP="00775721">
      <w:pPr>
        <w:jc w:val="center"/>
        <w:rPr>
          <w:rFonts w:ascii="Times" w:hAnsi="Times" w:cs="Times"/>
          <w:b/>
          <w:bCs/>
        </w:rPr>
        <w:sectPr w:rsidR="001A07DE" w:rsidSect="00513D27">
          <w:pgSz w:w="12240" w:h="15840" w:code="1"/>
          <w:pgMar w:top="1080" w:right="1440" w:bottom="810" w:left="1440" w:header="720" w:footer="720" w:gutter="0"/>
          <w:pgNumType w:start="1"/>
          <w:cols w:space="720"/>
          <w:titlePg/>
          <w:docGrid w:linePitch="360"/>
        </w:sectPr>
      </w:pPr>
    </w:p>
    <w:p w:rsidR="0017538D" w:rsidRDefault="0017538D" w:rsidP="00881F33">
      <w:pPr>
        <w:numPr>
          <w:ilvl w:val="0"/>
          <w:numId w:val="3"/>
        </w:numPr>
        <w:pBdr>
          <w:top w:val="single" w:sz="4" w:space="1" w:color="auto"/>
          <w:left w:val="single" w:sz="4" w:space="4" w:color="auto"/>
          <w:bottom w:val="single" w:sz="4" w:space="13" w:color="auto"/>
          <w:right w:val="single" w:sz="4" w:space="4" w:color="auto"/>
        </w:pBdr>
        <w:shd w:val="clear" w:color="auto" w:fill="E0E0E0"/>
        <w:rPr>
          <w:b/>
          <w:bCs/>
          <w:sz w:val="26"/>
          <w:szCs w:val="26"/>
        </w:rPr>
      </w:pPr>
      <w:r>
        <w:rPr>
          <w:b/>
          <w:bCs/>
          <w:sz w:val="26"/>
          <w:szCs w:val="26"/>
        </w:rPr>
        <w:lastRenderedPageBreak/>
        <w:t>Overview</w:t>
      </w:r>
    </w:p>
    <w:p w:rsidR="0017538D" w:rsidRDefault="0017538D"/>
    <w:p w:rsidR="00FE24F7" w:rsidRDefault="00FE24F7" w:rsidP="00FE24F7">
      <w:r>
        <w:t>The Consolidated Homeless Grant (CHG) combines state homeless resources into a single grant opportunity to county governments (and other designated entities) under the administration of the Washington State Department of Commerce (Commerce)</w:t>
      </w:r>
      <w:r w:rsidR="00832549">
        <w:t xml:space="preserve">. </w:t>
      </w:r>
      <w:r>
        <w:t>The CHG is designed to support an integrated system of housing assistance to prevent homelessness and quickly re-house households who are unsheltered</w:t>
      </w:r>
      <w:r w:rsidR="00832549">
        <w:t xml:space="preserve">. </w:t>
      </w:r>
      <w:r>
        <w:t>This grant provides resources to address the needs of people who are homeless or at-risk of homelessness, as described in Local Homeless Plans</w:t>
      </w:r>
      <w:r w:rsidR="00832549">
        <w:t xml:space="preserve">. </w:t>
      </w:r>
    </w:p>
    <w:p w:rsidR="00FE24F7" w:rsidRDefault="00FE24F7"/>
    <w:p w:rsidR="00FE24F7" w:rsidRDefault="00FE24F7" w:rsidP="00FE24F7">
      <w:pPr>
        <w:rPr>
          <w:b/>
          <w:bCs/>
          <w:i/>
          <w:iCs/>
        </w:rPr>
      </w:pPr>
      <w:r>
        <w:rPr>
          <w:b/>
          <w:bCs/>
          <w:i/>
          <w:iCs/>
        </w:rPr>
        <w:t xml:space="preserve">Fund Sources: </w:t>
      </w:r>
    </w:p>
    <w:p w:rsidR="0017538D" w:rsidRDefault="00FE24F7">
      <w:r>
        <w:t>Washington State Home Security Fund, Af</w:t>
      </w:r>
      <w:r w:rsidR="00AE363A">
        <w:t xml:space="preserve">fordable Housing for All Fund, </w:t>
      </w:r>
      <w:r>
        <w:t xml:space="preserve">Transitional Housing </w:t>
      </w:r>
      <w:r w:rsidR="001B6F40">
        <w:t xml:space="preserve">Operating and Rent </w:t>
      </w:r>
      <w:r>
        <w:t>Account, Homeless Housing Program authorized by RCW 43.185C</w:t>
      </w:r>
    </w:p>
    <w:p w:rsidR="00FE24F7" w:rsidRDefault="00FE24F7">
      <w:pPr>
        <w:rPr>
          <w:b/>
          <w:bCs/>
          <w:i/>
          <w:iCs/>
        </w:rPr>
      </w:pPr>
    </w:p>
    <w:p w:rsidR="0017538D" w:rsidRDefault="00832549">
      <w:pPr>
        <w:rPr>
          <w:b/>
          <w:bCs/>
          <w:i/>
          <w:iCs/>
        </w:rPr>
      </w:pPr>
      <w:r>
        <w:rPr>
          <w:b/>
          <w:bCs/>
          <w:i/>
          <w:iCs/>
        </w:rPr>
        <w:t>Grant Activities</w:t>
      </w:r>
    </w:p>
    <w:p w:rsidR="0017538D" w:rsidRDefault="0017538D">
      <w:r>
        <w:t xml:space="preserve">CHG funds support a variety of activities, </w:t>
      </w:r>
      <w:r w:rsidR="00326E3A">
        <w:t>including</w:t>
      </w:r>
      <w:r>
        <w:t xml:space="preserve"> operations of </w:t>
      </w:r>
      <w:r w:rsidR="00F928DA">
        <w:t>time-limited housing</w:t>
      </w:r>
      <w:r w:rsidR="00326E3A">
        <w:t xml:space="preserve"> </w:t>
      </w:r>
      <w:r>
        <w:t xml:space="preserve">units, rental assistance, </w:t>
      </w:r>
      <w:r w:rsidR="00373706">
        <w:t>and data</w:t>
      </w:r>
      <w:r>
        <w:t xml:space="preserve"> collection and reporting</w:t>
      </w:r>
      <w:r w:rsidR="00A0746C">
        <w:t xml:space="preserve">. </w:t>
      </w:r>
      <w:r>
        <w:t xml:space="preserve">Refer to the </w:t>
      </w:r>
      <w:r>
        <w:rPr>
          <w:i/>
          <w:iCs/>
        </w:rPr>
        <w:t>Administrative Requirements for</w:t>
      </w:r>
      <w:r>
        <w:t xml:space="preserve"> </w:t>
      </w:r>
      <w:r>
        <w:rPr>
          <w:i/>
          <w:iCs/>
        </w:rPr>
        <w:t>Consolidated Homeless Grant</w:t>
      </w:r>
      <w:r>
        <w:t xml:space="preserve"> for the administrative and system requirements for </w:t>
      </w:r>
      <w:r w:rsidR="007B2DE5">
        <w:t>Lead Grantees</w:t>
      </w:r>
      <w:r>
        <w:t xml:space="preserve"> and </w:t>
      </w:r>
      <w:r w:rsidR="00652368">
        <w:t>Sub Grantees</w:t>
      </w:r>
      <w:r>
        <w:t>, coordinated assessments, reporting, legislatively established priorities, and requirements for local homeless plan</w:t>
      </w:r>
      <w:r w:rsidR="00A0746C">
        <w:t xml:space="preserve">. </w:t>
      </w:r>
    </w:p>
    <w:p w:rsidR="0017538D" w:rsidRDefault="0017538D"/>
    <w:p w:rsidR="0017538D" w:rsidRDefault="0017538D" w:rsidP="00881F33">
      <w:pPr>
        <w:numPr>
          <w:ilvl w:val="0"/>
          <w:numId w:val="3"/>
        </w:numPr>
        <w:pBdr>
          <w:top w:val="single" w:sz="4" w:space="1" w:color="auto"/>
          <w:left w:val="single" w:sz="4" w:space="4" w:color="auto"/>
          <w:bottom w:val="single" w:sz="4" w:space="13" w:color="auto"/>
          <w:right w:val="single" w:sz="4" w:space="4" w:color="auto"/>
        </w:pBdr>
        <w:shd w:val="clear" w:color="auto" w:fill="E0E0E0"/>
        <w:rPr>
          <w:b/>
          <w:bCs/>
          <w:sz w:val="26"/>
          <w:szCs w:val="26"/>
        </w:rPr>
      </w:pPr>
      <w:r>
        <w:rPr>
          <w:b/>
          <w:bCs/>
          <w:sz w:val="26"/>
          <w:szCs w:val="26"/>
        </w:rPr>
        <w:t>Purpose</w:t>
      </w:r>
    </w:p>
    <w:p w:rsidR="008A711B" w:rsidRDefault="008A711B"/>
    <w:p w:rsidR="0017538D" w:rsidRDefault="0017538D">
      <w:r>
        <w:t xml:space="preserve">The purpose of the </w:t>
      </w:r>
      <w:r>
        <w:rPr>
          <w:i/>
          <w:iCs/>
        </w:rPr>
        <w:t xml:space="preserve">Guidelines </w:t>
      </w:r>
      <w:r>
        <w:t xml:space="preserve">is to:  </w:t>
      </w:r>
    </w:p>
    <w:p w:rsidR="009D21DE" w:rsidRDefault="009D21DE"/>
    <w:p w:rsidR="0017538D" w:rsidRDefault="007B28A3" w:rsidP="00760B91">
      <w:pPr>
        <w:numPr>
          <w:ilvl w:val="0"/>
          <w:numId w:val="33"/>
        </w:numPr>
      </w:pPr>
      <w:r>
        <w:t>P</w:t>
      </w:r>
      <w:r w:rsidR="0017538D">
        <w:t xml:space="preserve">rovide detail on client eligibility; </w:t>
      </w:r>
    </w:p>
    <w:p w:rsidR="00535941" w:rsidRPr="00777E15" w:rsidRDefault="00535941" w:rsidP="00535941">
      <w:pPr>
        <w:ind w:left="720"/>
        <w:rPr>
          <w:sz w:val="16"/>
          <w:szCs w:val="16"/>
        </w:rPr>
      </w:pPr>
    </w:p>
    <w:p w:rsidR="0017538D" w:rsidRDefault="007B28A3" w:rsidP="00760B91">
      <w:pPr>
        <w:numPr>
          <w:ilvl w:val="0"/>
          <w:numId w:val="33"/>
        </w:numPr>
      </w:pPr>
      <w:r>
        <w:t>O</w:t>
      </w:r>
      <w:r w:rsidR="0017538D">
        <w:t xml:space="preserve">utline the allowable activities for </w:t>
      </w:r>
      <w:r w:rsidR="00652368">
        <w:t>Lead Grantees</w:t>
      </w:r>
      <w:r w:rsidR="00FE24F7">
        <w:t xml:space="preserve"> and </w:t>
      </w:r>
      <w:r w:rsidR="00652368">
        <w:t>Sub Grantees</w:t>
      </w:r>
      <w:r w:rsidR="0017538D">
        <w:t xml:space="preserve">; and </w:t>
      </w:r>
    </w:p>
    <w:p w:rsidR="00535941" w:rsidRPr="00777E15" w:rsidRDefault="00535941" w:rsidP="00535941">
      <w:pPr>
        <w:ind w:left="720"/>
        <w:rPr>
          <w:sz w:val="16"/>
          <w:szCs w:val="16"/>
        </w:rPr>
      </w:pPr>
    </w:p>
    <w:p w:rsidR="0017538D" w:rsidRDefault="007B28A3" w:rsidP="00760B91">
      <w:pPr>
        <w:numPr>
          <w:ilvl w:val="0"/>
          <w:numId w:val="33"/>
        </w:numPr>
      </w:pPr>
      <w:r>
        <w:t>P</w:t>
      </w:r>
      <w:r w:rsidR="0017538D">
        <w:t>rovide standards for documenting services and ensuring compliance.</w:t>
      </w:r>
    </w:p>
    <w:p w:rsidR="0017538D" w:rsidRDefault="0017538D"/>
    <w:p w:rsidR="008C70DD" w:rsidRDefault="00FE24F7" w:rsidP="008C70DD">
      <w:r>
        <w:t>This document is incorpo</w:t>
      </w:r>
      <w:r w:rsidR="001B6F40">
        <w:t xml:space="preserve">rated into Commerce’s CHG </w:t>
      </w:r>
      <w:r>
        <w:t>and may be modified at any time during the grant period.</w:t>
      </w:r>
    </w:p>
    <w:p w:rsidR="008C70DD" w:rsidRDefault="008C70DD" w:rsidP="008C70DD"/>
    <w:p w:rsidR="0017538D" w:rsidRPr="009F55BC" w:rsidRDefault="00CD3CCE" w:rsidP="009F55BC">
      <w:pPr>
        <w:pStyle w:val="ListParagraph"/>
        <w:numPr>
          <w:ilvl w:val="0"/>
          <w:numId w:val="3"/>
        </w:numPr>
        <w:rPr>
          <w:b/>
          <w:sz w:val="26"/>
          <w:szCs w:val="26"/>
        </w:rPr>
      </w:pPr>
      <w:r w:rsidRPr="009F55BC">
        <w:rPr>
          <w:b/>
          <w:bCs/>
          <w:sz w:val="26"/>
          <w:szCs w:val="26"/>
        </w:rPr>
        <w:t>Eligibility</w:t>
      </w:r>
      <w:r w:rsidR="00250EFF" w:rsidRPr="009F55BC">
        <w:rPr>
          <w:b/>
          <w:bCs/>
          <w:sz w:val="26"/>
          <w:szCs w:val="26"/>
        </w:rPr>
        <w:t xml:space="preserve">  </w:t>
      </w:r>
    </w:p>
    <w:p w:rsidR="005156EA" w:rsidRPr="00F8500C" w:rsidRDefault="006256D1" w:rsidP="005156EA">
      <w:pPr>
        <w:rPr>
          <w:sz w:val="26"/>
          <w:szCs w:val="26"/>
        </w:rPr>
      </w:pPr>
      <w:r>
        <w:rPr>
          <w:noProof/>
          <w:sz w:val="26"/>
          <w:szCs w:val="26"/>
        </w:rPr>
        <w:pict>
          <v:rect id="Rectangle 10" o:spid="_x0000_s1026" style="position:absolute;margin-left:-2.15pt;margin-top:-16.15pt;width:465.85pt;height:30.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" fillcolor="#d8d8d8"/>
        </w:pict>
      </w:r>
    </w:p>
    <w:p w:rsidR="00250EFF" w:rsidRDefault="00250EFF">
      <w:pPr>
        <w:pStyle w:val="CM13"/>
        <w:ind w:right="97"/>
        <w:rPr>
          <w:rFonts w:ascii="Times New Roman" w:hAnsi="Times New Roman" w:cs="Times New Roman"/>
        </w:rPr>
      </w:pPr>
    </w:p>
    <w:p w:rsidR="007B4C71" w:rsidRPr="009F55BC" w:rsidRDefault="009F55BC" w:rsidP="009F55BC">
      <w:pPr>
        <w:pStyle w:val="Default"/>
        <w:shd w:val="clear" w:color="auto" w:fill="C6D9F1" w:themeFill="text2" w:themeFillTint="33"/>
        <w:rPr>
          <w:rFonts w:ascii="Times New Roman" w:hAnsi="Times New Roman" w:cs="Times New Roman"/>
          <w:b/>
        </w:rPr>
      </w:pPr>
      <w:r>
        <w:rPr>
          <w:rFonts w:ascii="Times New Roman" w:hAnsi="Times New Roman" w:cs="Times New Roman"/>
          <w:b/>
        </w:rPr>
        <w:t>Housing Status</w:t>
      </w:r>
      <w:r w:rsidR="00E660FD">
        <w:rPr>
          <w:rFonts w:ascii="Times New Roman" w:hAnsi="Times New Roman" w:cs="Times New Roman"/>
          <w:b/>
        </w:rPr>
        <w:t xml:space="preserve"> Eligibility</w:t>
      </w:r>
    </w:p>
    <w:p w:rsidR="009F55BC" w:rsidRDefault="009F55BC">
      <w:pPr>
        <w:pStyle w:val="CM13"/>
        <w:ind w:right="97"/>
        <w:rPr>
          <w:rFonts w:ascii="Times New Roman" w:hAnsi="Times New Roman" w:cs="Times New Roman"/>
        </w:rPr>
      </w:pPr>
    </w:p>
    <w:p w:rsidR="0017538D" w:rsidRDefault="00652368">
      <w:pPr>
        <w:pStyle w:val="CM13"/>
        <w:ind w:right="97"/>
        <w:rPr>
          <w:rFonts w:ascii="Times New Roman" w:hAnsi="Times New Roman" w:cs="Times New Roman"/>
        </w:rPr>
      </w:pPr>
      <w:r>
        <w:rPr>
          <w:rFonts w:ascii="Times New Roman" w:hAnsi="Times New Roman" w:cs="Times New Roman"/>
        </w:rPr>
        <w:t xml:space="preserve">Lead </w:t>
      </w:r>
      <w:r w:rsidR="00CB6282">
        <w:rPr>
          <w:rFonts w:ascii="Times New Roman" w:hAnsi="Times New Roman" w:cs="Times New Roman"/>
        </w:rPr>
        <w:t>/</w:t>
      </w:r>
      <w:r>
        <w:rPr>
          <w:rFonts w:ascii="Times New Roman" w:hAnsi="Times New Roman" w:cs="Times New Roman"/>
        </w:rPr>
        <w:t>Sub Grantees</w:t>
      </w:r>
      <w:r w:rsidR="0017538D">
        <w:rPr>
          <w:rFonts w:ascii="Times New Roman" w:hAnsi="Times New Roman" w:cs="Times New Roman"/>
        </w:rPr>
        <w:t xml:space="preserve"> need to first determine the </w:t>
      </w:r>
      <w:r w:rsidR="0017538D">
        <w:rPr>
          <w:rFonts w:ascii="Times New Roman" w:hAnsi="Times New Roman" w:cs="Times New Roman"/>
          <w:i/>
          <w:iCs/>
        </w:rPr>
        <w:t>Housing Status</w:t>
      </w:r>
      <w:r w:rsidR="00F6354C">
        <w:rPr>
          <w:rFonts w:ascii="Times New Roman" w:hAnsi="Times New Roman" w:cs="Times New Roman"/>
          <w:iCs/>
        </w:rPr>
        <w:t xml:space="preserve"> (homeless, at risk of becoming homeless)</w:t>
      </w:r>
      <w:r w:rsidR="0017538D">
        <w:rPr>
          <w:rFonts w:ascii="Times New Roman" w:hAnsi="Times New Roman" w:cs="Times New Roman"/>
        </w:rPr>
        <w:t xml:space="preserve"> of individuals or households they want to support with </w:t>
      </w:r>
      <w:r w:rsidR="002004EC">
        <w:rPr>
          <w:rFonts w:ascii="Times New Roman" w:hAnsi="Times New Roman" w:cs="Times New Roman"/>
        </w:rPr>
        <w:t xml:space="preserve">CHG </w:t>
      </w:r>
      <w:r w:rsidR="0017538D">
        <w:rPr>
          <w:rFonts w:ascii="Times New Roman" w:hAnsi="Times New Roman" w:cs="Times New Roman"/>
        </w:rPr>
        <w:t>funds</w:t>
      </w:r>
      <w:r w:rsidR="00A0746C">
        <w:rPr>
          <w:rFonts w:ascii="Times New Roman" w:hAnsi="Times New Roman" w:cs="Times New Roman"/>
        </w:rPr>
        <w:t>.</w:t>
      </w:r>
      <w:r w:rsidR="005F492E">
        <w:rPr>
          <w:rFonts w:ascii="Times New Roman" w:hAnsi="Times New Roman" w:cs="Times New Roman"/>
        </w:rPr>
        <w:t xml:space="preserve">  If providing a bed night in a congregate living facility or program with a maximum length of stay of 90 days or less, no housing status documentation is required. </w:t>
      </w:r>
    </w:p>
    <w:p w:rsidR="005F492E" w:rsidRDefault="005F492E" w:rsidP="00981C84">
      <w:pPr>
        <w:pStyle w:val="Default"/>
      </w:pPr>
    </w:p>
    <w:p w:rsidR="005F492E" w:rsidRPr="00981C84" w:rsidRDefault="005F492E" w:rsidP="00981C84">
      <w:pPr>
        <w:pStyle w:val="Default"/>
      </w:pPr>
    </w:p>
    <w:p w:rsidR="007B4C71" w:rsidRDefault="00435D68" w:rsidP="007B4C71">
      <w:pPr>
        <w:shd w:val="clear" w:color="auto" w:fill="FFFFFF" w:themeFill="background1"/>
        <w:rPr>
          <w:b/>
          <w:bCs/>
        </w:rPr>
      </w:pPr>
      <w:r w:rsidRPr="007B4C71">
        <w:rPr>
          <w:b/>
          <w:bCs/>
        </w:rPr>
        <w:lastRenderedPageBreak/>
        <w:t>At Risk of Becoming Homeless</w:t>
      </w:r>
    </w:p>
    <w:p w:rsidR="009102DD" w:rsidRDefault="009102DD">
      <w:r w:rsidRPr="0039185F">
        <w:t xml:space="preserve">An individual or household </w:t>
      </w:r>
      <w:r w:rsidR="00565744">
        <w:t>that</w:t>
      </w:r>
      <w:r w:rsidRPr="0039185F">
        <w:t xml:space="preserve"> will imminently lose their primary nighttime residence within 14 days of the date of application for homeless assistance</w:t>
      </w:r>
      <w:r w:rsidR="00565744">
        <w:t xml:space="preserve"> are at risk of becoming homeless</w:t>
      </w:r>
      <w:r w:rsidRPr="0039185F">
        <w:t>.</w:t>
      </w:r>
      <w:r w:rsidRPr="009102DD">
        <w:t xml:space="preserve">  </w:t>
      </w:r>
    </w:p>
    <w:p w:rsidR="009102DD" w:rsidRDefault="009102DD"/>
    <w:p w:rsidR="00783018" w:rsidRDefault="00525EB4">
      <w:r>
        <w:t>P</w:t>
      </w:r>
      <w:r w:rsidR="00435D68" w:rsidRPr="00D05391">
        <w:t xml:space="preserve">eople </w:t>
      </w:r>
      <w:r>
        <w:t>c</w:t>
      </w:r>
      <w:r w:rsidR="00435D68" w:rsidRPr="00D05391">
        <w:t>urrently housed but are facing eviction and need housing assistance to prevent them from becoming homeless</w:t>
      </w:r>
      <w:r w:rsidR="00D05391">
        <w:t xml:space="preserve"> </w:t>
      </w:r>
      <w:r w:rsidR="00D05391" w:rsidRPr="00D05391">
        <w:t>(see Appen</w:t>
      </w:r>
      <w:r w:rsidR="00355E40">
        <w:t xml:space="preserve">dix B - </w:t>
      </w:r>
      <w:r w:rsidR="004E2342">
        <w:t>Housing S</w:t>
      </w:r>
      <w:r w:rsidR="0070281C">
        <w:t xml:space="preserve">tatus </w:t>
      </w:r>
      <w:r w:rsidR="004E2342">
        <w:t>D</w:t>
      </w:r>
      <w:r w:rsidR="00D05391" w:rsidRPr="00D05391">
        <w:t xml:space="preserve">ocumentation </w:t>
      </w:r>
      <w:r w:rsidR="004E2342">
        <w:t>Standards</w:t>
      </w:r>
      <w:r w:rsidR="00D05391" w:rsidRPr="00D05391">
        <w:t>).</w:t>
      </w:r>
      <w:r w:rsidR="00D05391">
        <w:t xml:space="preserve"> </w:t>
      </w:r>
      <w:r w:rsidR="00141994">
        <w:t>Rent assistance to prevent homelessness must be targeted to those households at highest risk of becoming homeless</w:t>
      </w:r>
      <w:r w:rsidR="00A506B6">
        <w:t xml:space="preserve"> [</w:t>
      </w:r>
      <w:r w:rsidR="00EA1B69">
        <w:t>Commerce intends to develop language and protocol for this practice]</w:t>
      </w:r>
      <w:r w:rsidR="00141994">
        <w:t xml:space="preserve">. </w:t>
      </w:r>
    </w:p>
    <w:p w:rsidR="00525EB4" w:rsidRDefault="00525EB4"/>
    <w:p w:rsidR="003C0C18" w:rsidRPr="003C0C18" w:rsidRDefault="003C0C18" w:rsidP="003C0C18">
      <w:r w:rsidRPr="003C0C18">
        <w:t>Households that are no longer eligible for the Housing and Essential Needs (HEN) or the Ending Family Homelessness (EFH) programs and need additional rent assistance, are eligible for CHG rent assistance.  The original HEN or EFH eligibility documentation will meet CHG eligibility requirements for homeless verification.</w:t>
      </w:r>
    </w:p>
    <w:p w:rsidR="00DD5C0B" w:rsidRDefault="00DD5C0B">
      <w:pPr>
        <w:pStyle w:val="Default"/>
        <w:rPr>
          <w:rFonts w:ascii="Times New Roman" w:hAnsi="Times New Roman" w:cs="Times New Roman"/>
        </w:rPr>
      </w:pPr>
    </w:p>
    <w:p w:rsidR="007B4C71" w:rsidRDefault="00BD6D19" w:rsidP="007B4C71">
      <w:pPr>
        <w:shd w:val="clear" w:color="auto" w:fill="FFFFFF" w:themeFill="background1"/>
        <w:rPr>
          <w:b/>
          <w:bCs/>
        </w:rPr>
      </w:pPr>
      <w:r>
        <w:rPr>
          <w:b/>
          <w:bCs/>
        </w:rPr>
        <w:t>H</w:t>
      </w:r>
      <w:r w:rsidR="00435D68" w:rsidRPr="00D05391">
        <w:rPr>
          <w:b/>
          <w:bCs/>
        </w:rPr>
        <w:t>omeless</w:t>
      </w:r>
    </w:p>
    <w:p w:rsidR="00E925CE" w:rsidRPr="00287D69" w:rsidRDefault="00435D68" w:rsidP="002E56E6">
      <w:pPr>
        <w:rPr>
          <w:i/>
          <w:iCs/>
        </w:rPr>
      </w:pPr>
      <w:r w:rsidRPr="00D05391">
        <w:t xml:space="preserve">These people are unsheltered or are living in a temporary housing situation and need assistance in order </w:t>
      </w:r>
      <w:r w:rsidRPr="00A629C0">
        <w:t>to</w:t>
      </w:r>
      <w:r w:rsidR="00355E40">
        <w:t xml:space="preserve"> obtain housing </w:t>
      </w:r>
      <w:r w:rsidR="00D05391" w:rsidRPr="00287D69">
        <w:t>(</w:t>
      </w:r>
      <w:r w:rsidR="00355E40">
        <w:t>s</w:t>
      </w:r>
      <w:r w:rsidR="00373706" w:rsidRPr="00287D69">
        <w:t>ee</w:t>
      </w:r>
      <w:r w:rsidR="00355E40">
        <w:t xml:space="preserve"> Appendix B</w:t>
      </w:r>
      <w:r w:rsidR="00B226A8">
        <w:t xml:space="preserve"> - </w:t>
      </w:r>
      <w:r w:rsidR="00E525F6">
        <w:t>Housing Status D</w:t>
      </w:r>
      <w:r w:rsidR="00E525F6" w:rsidRPr="00D05391">
        <w:t xml:space="preserve">ocumentation </w:t>
      </w:r>
      <w:r w:rsidR="00E525F6">
        <w:t>Standards</w:t>
      </w:r>
      <w:r w:rsidR="00D05391" w:rsidRPr="00287D69">
        <w:t xml:space="preserve">).  </w:t>
      </w:r>
    </w:p>
    <w:p w:rsidR="002E56E6" w:rsidRPr="00287D69" w:rsidRDefault="002E56E6" w:rsidP="00E925CE">
      <w:pPr>
        <w:pStyle w:val="Default"/>
        <w:rPr>
          <w:rFonts w:ascii="Times New Roman" w:hAnsi="Times New Roman" w:cs="Times New Roman"/>
          <w:highlight w:val="yellow"/>
        </w:rPr>
      </w:pPr>
    </w:p>
    <w:p w:rsidR="00E925CE" w:rsidRPr="00A629C0" w:rsidRDefault="00E925CE" w:rsidP="00760B91">
      <w:pPr>
        <w:pStyle w:val="ListParagraph"/>
        <w:numPr>
          <w:ilvl w:val="0"/>
          <w:numId w:val="22"/>
        </w:numPr>
        <w:autoSpaceDE w:val="0"/>
        <w:autoSpaceDN w:val="0"/>
        <w:adjustRightInd w:val="0"/>
        <w:ind w:left="720"/>
      </w:pPr>
      <w:r w:rsidRPr="00A629C0">
        <w:t>An individual or household who lacks a fixed, regular, and adequate nighttime residence, meaning:</w:t>
      </w:r>
    </w:p>
    <w:p w:rsidR="00E925CE" w:rsidRPr="00A629C0" w:rsidRDefault="00E925CE" w:rsidP="00E925CE">
      <w:pPr>
        <w:autoSpaceDE w:val="0"/>
        <w:autoSpaceDN w:val="0"/>
        <w:adjustRightInd w:val="0"/>
      </w:pPr>
    </w:p>
    <w:p w:rsidR="00E925CE" w:rsidRPr="00A629C0" w:rsidRDefault="00E925CE" w:rsidP="00760B91">
      <w:pPr>
        <w:pStyle w:val="ListParagraph"/>
        <w:numPr>
          <w:ilvl w:val="0"/>
          <w:numId w:val="23"/>
        </w:numPr>
        <w:autoSpaceDE w:val="0"/>
        <w:autoSpaceDN w:val="0"/>
        <w:adjustRightInd w:val="0"/>
        <w:ind w:left="1080"/>
      </w:pPr>
      <w:r w:rsidRPr="00A629C0">
        <w:t>An individual or household with a primary nighttime residence that is not designed for or ordinarily used as a regular sleeping accommodation for human beings, including a car, park, abandoned building, bus or train station, airport, or camping ground;</w:t>
      </w:r>
      <w:r w:rsidR="0059677D" w:rsidRPr="00A629C0">
        <w:t xml:space="preserve"> or</w:t>
      </w:r>
    </w:p>
    <w:p w:rsidR="00E925CE" w:rsidRPr="000E263C" w:rsidRDefault="00E925CE" w:rsidP="00E925CE">
      <w:pPr>
        <w:autoSpaceDE w:val="0"/>
        <w:autoSpaceDN w:val="0"/>
        <w:adjustRightInd w:val="0"/>
        <w:ind w:left="720"/>
        <w:rPr>
          <w:sz w:val="18"/>
          <w:szCs w:val="18"/>
        </w:rPr>
      </w:pPr>
    </w:p>
    <w:p w:rsidR="00E925CE" w:rsidRPr="00A629C0" w:rsidRDefault="00E925CE" w:rsidP="00760B91">
      <w:pPr>
        <w:pStyle w:val="ListParagraph"/>
        <w:numPr>
          <w:ilvl w:val="0"/>
          <w:numId w:val="23"/>
        </w:numPr>
        <w:autoSpaceDE w:val="0"/>
        <w:autoSpaceDN w:val="0"/>
        <w:adjustRightInd w:val="0"/>
        <w:ind w:left="1080"/>
      </w:pPr>
      <w:r w:rsidRPr="00A629C0">
        <w:t>An individual or household living in a temporary living arrangement</w:t>
      </w:r>
      <w:r w:rsidR="00740CFF">
        <w:t>,</w:t>
      </w:r>
      <w:r w:rsidRPr="00A629C0">
        <w:t xml:space="preserve"> including congregate shelters, transitional housing, and hotels and motels paid for by charitable organizations or </w:t>
      </w:r>
      <w:r w:rsidR="00740CFF">
        <w:t>government programs</w:t>
      </w:r>
      <w:r w:rsidR="004171DF">
        <w:t>.</w:t>
      </w:r>
    </w:p>
    <w:p w:rsidR="00E925CE" w:rsidRPr="00A629C0" w:rsidRDefault="00E925CE" w:rsidP="00AF1D38">
      <w:pPr>
        <w:autoSpaceDE w:val="0"/>
        <w:autoSpaceDN w:val="0"/>
        <w:adjustRightInd w:val="0"/>
        <w:ind w:left="1080" w:hanging="360"/>
      </w:pPr>
    </w:p>
    <w:p w:rsidR="00FE5265" w:rsidRDefault="00E925CE" w:rsidP="00760B91">
      <w:pPr>
        <w:pStyle w:val="ListParagraph"/>
        <w:numPr>
          <w:ilvl w:val="0"/>
          <w:numId w:val="43"/>
        </w:numPr>
        <w:autoSpaceDE w:val="0"/>
        <w:autoSpaceDN w:val="0"/>
        <w:adjustRightInd w:val="0"/>
        <w:ind w:left="720"/>
      </w:pPr>
      <w:r w:rsidRPr="00A629C0">
        <w:t>An individual who is exiting a</w:t>
      </w:r>
      <w:r w:rsidR="00FE5265">
        <w:t xml:space="preserve"> system of care:</w:t>
      </w:r>
    </w:p>
    <w:p w:rsidR="00B50A25" w:rsidRDefault="00FE5265">
      <w:pPr>
        <w:pStyle w:val="ListParagraph"/>
        <w:autoSpaceDE w:val="0"/>
        <w:autoSpaceDN w:val="0"/>
        <w:adjustRightInd w:val="0"/>
      </w:pPr>
      <w:r>
        <w:t xml:space="preserve"> </w:t>
      </w:r>
    </w:p>
    <w:p w:rsidR="00FE5265" w:rsidRDefault="00FE5265" w:rsidP="00760B91">
      <w:pPr>
        <w:pStyle w:val="ListParagraph"/>
        <w:numPr>
          <w:ilvl w:val="0"/>
          <w:numId w:val="44"/>
        </w:numPr>
        <w:autoSpaceDE w:val="0"/>
        <w:autoSpaceDN w:val="0"/>
        <w:adjustRightInd w:val="0"/>
      </w:pPr>
      <w:r>
        <w:t>Psychiatric hospital or other psychiatric facility</w:t>
      </w:r>
      <w:r w:rsidR="005948CD">
        <w:t>,</w:t>
      </w:r>
    </w:p>
    <w:p w:rsidR="00FE5265" w:rsidRDefault="00FE5265" w:rsidP="00760B91">
      <w:pPr>
        <w:pStyle w:val="ListParagraph"/>
        <w:numPr>
          <w:ilvl w:val="0"/>
          <w:numId w:val="44"/>
        </w:numPr>
        <w:autoSpaceDE w:val="0"/>
        <w:autoSpaceDN w:val="0"/>
        <w:adjustRightInd w:val="0"/>
      </w:pPr>
      <w:r>
        <w:t>Substance abuse treatment facility or detox center</w:t>
      </w:r>
      <w:r w:rsidR="005948CD">
        <w:t>,</w:t>
      </w:r>
    </w:p>
    <w:p w:rsidR="00FE5265" w:rsidRDefault="00FE5265" w:rsidP="00760B91">
      <w:pPr>
        <w:pStyle w:val="ListParagraph"/>
        <w:numPr>
          <w:ilvl w:val="0"/>
          <w:numId w:val="44"/>
        </w:numPr>
        <w:autoSpaceDE w:val="0"/>
        <w:autoSpaceDN w:val="0"/>
        <w:adjustRightInd w:val="0"/>
      </w:pPr>
      <w:r>
        <w:t>Hospital (non-psychiatric)</w:t>
      </w:r>
      <w:r w:rsidR="005948CD">
        <w:t>,</w:t>
      </w:r>
    </w:p>
    <w:p w:rsidR="00FE5265" w:rsidRDefault="00FE5265" w:rsidP="00760B91">
      <w:pPr>
        <w:pStyle w:val="ListParagraph"/>
        <w:numPr>
          <w:ilvl w:val="0"/>
          <w:numId w:val="44"/>
        </w:numPr>
        <w:autoSpaceDE w:val="0"/>
        <w:autoSpaceDN w:val="0"/>
        <w:adjustRightInd w:val="0"/>
      </w:pPr>
      <w:r>
        <w:t>Jail, prison, or juvenile detention facility</w:t>
      </w:r>
      <w:r w:rsidR="005948CD">
        <w:t>, or</w:t>
      </w:r>
    </w:p>
    <w:p w:rsidR="00E925CE" w:rsidRPr="00A629C0" w:rsidRDefault="00FE5265" w:rsidP="00760B91">
      <w:pPr>
        <w:pStyle w:val="ListParagraph"/>
        <w:numPr>
          <w:ilvl w:val="0"/>
          <w:numId w:val="44"/>
        </w:numPr>
        <w:autoSpaceDE w:val="0"/>
        <w:autoSpaceDN w:val="0"/>
        <w:adjustRightInd w:val="0"/>
      </w:pPr>
      <w:r>
        <w:t>Foster care home or foster care group home</w:t>
      </w:r>
      <w:r w:rsidR="005948CD">
        <w:t>.</w:t>
      </w:r>
      <w:r>
        <w:t xml:space="preserve"> </w:t>
      </w:r>
    </w:p>
    <w:p w:rsidR="00B60C11" w:rsidRDefault="00B60C11" w:rsidP="00B60C11">
      <w:pPr>
        <w:pStyle w:val="ListParagraph"/>
        <w:autoSpaceDE w:val="0"/>
        <w:autoSpaceDN w:val="0"/>
        <w:adjustRightInd w:val="0"/>
      </w:pPr>
    </w:p>
    <w:p w:rsidR="00B50A25" w:rsidRDefault="00E925CE" w:rsidP="00760B91">
      <w:pPr>
        <w:pStyle w:val="ListParagraph"/>
        <w:numPr>
          <w:ilvl w:val="0"/>
          <w:numId w:val="45"/>
        </w:numPr>
        <w:autoSpaceDE w:val="0"/>
        <w:autoSpaceDN w:val="0"/>
        <w:adjustRightInd w:val="0"/>
      </w:pPr>
      <w:r w:rsidRPr="00A629C0">
        <w:t>Any individual or household who</w:t>
      </w:r>
      <w:r w:rsidR="00B60C11">
        <w:t xml:space="preserve"> </w:t>
      </w:r>
      <w:r w:rsidR="00287D69">
        <w:t>i</w:t>
      </w:r>
      <w:r w:rsidRPr="00A629C0">
        <w:t>s fleeing, or is attempting to flee, domestic violence, dating violence, sexual assault, stalking, or other dangerous or life-threatening conditions that relate to violence against the individual or a household member, including a child, that has either taken place within the individual’s or household’s primary nighttime residence or has made the individual or household afraid to return to their primary nighttime residence</w:t>
      </w:r>
      <w:r w:rsidR="00287D69">
        <w:t>.</w:t>
      </w:r>
    </w:p>
    <w:p w:rsidR="00E925CE" w:rsidRDefault="00E925CE" w:rsidP="00AF1D38">
      <w:pPr>
        <w:autoSpaceDE w:val="0"/>
        <w:autoSpaceDN w:val="0"/>
        <w:adjustRightInd w:val="0"/>
        <w:ind w:left="1080" w:hanging="360"/>
      </w:pPr>
    </w:p>
    <w:p w:rsidR="006C6269" w:rsidRDefault="006C6269" w:rsidP="00AF1D38">
      <w:pPr>
        <w:autoSpaceDE w:val="0"/>
        <w:autoSpaceDN w:val="0"/>
        <w:adjustRightInd w:val="0"/>
        <w:ind w:left="1080" w:hanging="360"/>
      </w:pPr>
    </w:p>
    <w:p w:rsidR="007B4C71" w:rsidRPr="009F55BC" w:rsidRDefault="009F55BC" w:rsidP="009F55BC">
      <w:pPr>
        <w:shd w:val="clear" w:color="auto" w:fill="C6D9F1" w:themeFill="text2" w:themeFillTint="33"/>
        <w:autoSpaceDE w:val="0"/>
        <w:autoSpaceDN w:val="0"/>
        <w:adjustRightInd w:val="0"/>
        <w:rPr>
          <w:b/>
        </w:rPr>
      </w:pPr>
      <w:r>
        <w:rPr>
          <w:b/>
        </w:rPr>
        <w:lastRenderedPageBreak/>
        <w:t>Income</w:t>
      </w:r>
      <w:r w:rsidR="00E660FD">
        <w:rPr>
          <w:b/>
        </w:rPr>
        <w:t xml:space="preserve"> Eligibility</w:t>
      </w:r>
    </w:p>
    <w:p w:rsidR="009F55BC" w:rsidRDefault="004A1711" w:rsidP="004A1711">
      <w:pPr>
        <w:tabs>
          <w:tab w:val="left" w:pos="0"/>
        </w:tabs>
        <w:rPr>
          <w:b/>
          <w:bCs/>
        </w:rPr>
      </w:pPr>
      <w:r>
        <w:rPr>
          <w:b/>
          <w:bCs/>
        </w:rPr>
        <w:tab/>
      </w:r>
    </w:p>
    <w:p w:rsidR="009F55BC" w:rsidRDefault="009F55BC" w:rsidP="007B4C71">
      <w:pPr>
        <w:shd w:val="clear" w:color="auto" w:fill="FFFFFF" w:themeFill="background1"/>
        <w:rPr>
          <w:b/>
          <w:bCs/>
        </w:rPr>
      </w:pPr>
      <w:r w:rsidRPr="00E55BF1">
        <w:rPr>
          <w:b/>
          <w:bCs/>
        </w:rPr>
        <w:t>Income Eligibility for households staying in congregate living facilities supported by CHG Facility Support funds:</w:t>
      </w:r>
    </w:p>
    <w:p w:rsidR="00A40512" w:rsidRPr="00E55BF1" w:rsidRDefault="00A40512" w:rsidP="007B4C71">
      <w:pPr>
        <w:shd w:val="clear" w:color="auto" w:fill="FFFFFF" w:themeFill="background1"/>
        <w:rPr>
          <w:b/>
          <w:bCs/>
        </w:rPr>
      </w:pPr>
    </w:p>
    <w:p w:rsidR="009F55BC" w:rsidRPr="00E55BF1" w:rsidRDefault="009F55BC" w:rsidP="00760B91">
      <w:pPr>
        <w:pStyle w:val="ListParagraph"/>
        <w:numPr>
          <w:ilvl w:val="0"/>
          <w:numId w:val="18"/>
        </w:numPr>
        <w:rPr>
          <w:b/>
          <w:bCs/>
        </w:rPr>
      </w:pPr>
      <w:r w:rsidRPr="00E55BF1">
        <w:t xml:space="preserve">There are no income eligibility thresholds for households who are homeless and are living in a congregate living facility (single room with multiple households) for up to 24 months (per household). </w:t>
      </w:r>
    </w:p>
    <w:p w:rsidR="00A40512" w:rsidRDefault="00A40512" w:rsidP="007B4C71">
      <w:pPr>
        <w:shd w:val="clear" w:color="auto" w:fill="FFFFFF" w:themeFill="background1"/>
        <w:rPr>
          <w:b/>
          <w:bCs/>
        </w:rPr>
      </w:pPr>
    </w:p>
    <w:p w:rsidR="009F55BC" w:rsidRPr="00E55BF1" w:rsidRDefault="009F55BC" w:rsidP="007B4C71">
      <w:pPr>
        <w:shd w:val="clear" w:color="auto" w:fill="FFFFFF" w:themeFill="background1"/>
        <w:rPr>
          <w:b/>
          <w:bCs/>
        </w:rPr>
      </w:pPr>
      <w:r w:rsidRPr="00E55BF1">
        <w:rPr>
          <w:b/>
          <w:bCs/>
        </w:rPr>
        <w:t xml:space="preserve">Income Eligibility for households staying in single-household units </w:t>
      </w:r>
      <w:r w:rsidR="00B60C11" w:rsidRPr="00E55BF1">
        <w:rPr>
          <w:b/>
          <w:bCs/>
        </w:rPr>
        <w:t>(includes</w:t>
      </w:r>
      <w:r w:rsidR="00FF0534" w:rsidRPr="00E55BF1">
        <w:rPr>
          <w:b/>
          <w:bCs/>
        </w:rPr>
        <w:t xml:space="preserve"> a house or apartment building with bedrooms for individual households and </w:t>
      </w:r>
      <w:r w:rsidR="005E4B98" w:rsidRPr="00E55BF1">
        <w:rPr>
          <w:b/>
          <w:bCs/>
        </w:rPr>
        <w:t xml:space="preserve">a </w:t>
      </w:r>
      <w:r w:rsidR="00FF0534" w:rsidRPr="00E55BF1">
        <w:rPr>
          <w:b/>
          <w:bCs/>
        </w:rPr>
        <w:t>shared kitchen, bathroom</w:t>
      </w:r>
      <w:r w:rsidR="005E4B98" w:rsidRPr="00E55BF1">
        <w:rPr>
          <w:b/>
          <w:bCs/>
        </w:rPr>
        <w:t>s</w:t>
      </w:r>
      <w:r w:rsidR="00FF0534" w:rsidRPr="00E55BF1">
        <w:rPr>
          <w:b/>
          <w:bCs/>
        </w:rPr>
        <w:t>, etc.</w:t>
      </w:r>
      <w:r w:rsidRPr="00E55BF1">
        <w:rPr>
          <w:b/>
          <w:bCs/>
        </w:rPr>
        <w:t xml:space="preserve">) supported by CHG Facility Support funds for 90 days or less </w:t>
      </w:r>
      <w:r w:rsidRPr="00E55BF1">
        <w:rPr>
          <w:b/>
        </w:rPr>
        <w:t>within a calendar year</w:t>
      </w:r>
      <w:r w:rsidRPr="00E55BF1">
        <w:rPr>
          <w:b/>
          <w:bCs/>
        </w:rPr>
        <w:t>:</w:t>
      </w:r>
    </w:p>
    <w:p w:rsidR="009F55BC" w:rsidRPr="00E55BF1" w:rsidRDefault="009F55BC" w:rsidP="009F55BC">
      <w:pPr>
        <w:pStyle w:val="ListParagraph"/>
        <w:rPr>
          <w:b/>
          <w:bCs/>
        </w:rPr>
      </w:pPr>
    </w:p>
    <w:p w:rsidR="009F55BC" w:rsidRPr="00E55BF1" w:rsidRDefault="009F55BC" w:rsidP="00760B91">
      <w:pPr>
        <w:pStyle w:val="ListParagraph"/>
        <w:numPr>
          <w:ilvl w:val="0"/>
          <w:numId w:val="18"/>
        </w:numPr>
      </w:pPr>
      <w:r w:rsidRPr="00E55BF1">
        <w:t>There are no income eligibility thresholds for households provided single-household units supported by Facility Support funding if upon entry it is expected that they will be staying less than 90 days within a calendar year. If on a rare basis a household unexpectedly needs to stay in the single-household unit more than 90 days and up to 24 months, the household’s continued stay is subject to the following income thresholds: households with minor children must be at or below the Very Low (50</w:t>
      </w:r>
      <w:r w:rsidR="00527516">
        <w:t xml:space="preserve"> percent</w:t>
      </w:r>
      <w:r w:rsidRPr="00E55BF1">
        <w:t xml:space="preserve">) </w:t>
      </w:r>
      <w:r w:rsidR="003A4F7C" w:rsidRPr="00E55BF1">
        <w:t>I</w:t>
      </w:r>
      <w:r w:rsidRPr="00E55BF1">
        <w:t>ncome Limits</w:t>
      </w:r>
      <w:r w:rsidR="003A4F7C" w:rsidRPr="00E55BF1">
        <w:rPr>
          <w:rStyle w:val="FootnoteReference"/>
        </w:rPr>
        <w:footnoteReference w:id="1"/>
      </w:r>
      <w:r w:rsidRPr="00E55BF1">
        <w:t>, and households without minor children at or below the Extremely Low (30</w:t>
      </w:r>
      <w:r w:rsidR="00527516">
        <w:t xml:space="preserve"> percent</w:t>
      </w:r>
      <w:r w:rsidRPr="00E55BF1">
        <w:t>) Income Limits.</w:t>
      </w:r>
    </w:p>
    <w:p w:rsidR="009F55BC" w:rsidRPr="00E55BF1" w:rsidRDefault="009F55BC" w:rsidP="009F55BC">
      <w:pPr>
        <w:pStyle w:val="ListParagraph"/>
        <w:rPr>
          <w:sz w:val="16"/>
          <w:szCs w:val="16"/>
        </w:rPr>
      </w:pPr>
      <w:r w:rsidRPr="00E55BF1">
        <w:t xml:space="preserve"> </w:t>
      </w:r>
    </w:p>
    <w:p w:rsidR="009F55BC" w:rsidRPr="00E55BF1" w:rsidRDefault="009F55BC" w:rsidP="00760B91">
      <w:pPr>
        <w:pStyle w:val="ListParagraph"/>
        <w:numPr>
          <w:ilvl w:val="0"/>
          <w:numId w:val="18"/>
        </w:numPr>
        <w:rPr>
          <w:b/>
          <w:bCs/>
        </w:rPr>
      </w:pPr>
      <w:r w:rsidRPr="00E55BF1">
        <w:t xml:space="preserve">There </w:t>
      </w:r>
      <w:r w:rsidR="00146962" w:rsidRPr="00E55BF1">
        <w:t>are</w:t>
      </w:r>
      <w:r w:rsidRPr="00E55BF1">
        <w:t xml:space="preserve"> no income eligibility thresholds for households receiving a hotel/motel voucher for 90 days or less because no other housing is available or appropriate.</w:t>
      </w:r>
    </w:p>
    <w:p w:rsidR="009F55BC" w:rsidRPr="00E55BF1" w:rsidRDefault="009F55BC" w:rsidP="009F55BC">
      <w:pPr>
        <w:ind w:left="360"/>
        <w:rPr>
          <w:b/>
          <w:bCs/>
        </w:rPr>
      </w:pPr>
    </w:p>
    <w:p w:rsidR="00A506B6" w:rsidRDefault="009F55BC" w:rsidP="007B4C71">
      <w:pPr>
        <w:shd w:val="clear" w:color="auto" w:fill="FFFFFF" w:themeFill="background1"/>
        <w:rPr>
          <w:b/>
          <w:bCs/>
        </w:rPr>
      </w:pPr>
      <w:r w:rsidRPr="00E55BF1">
        <w:rPr>
          <w:b/>
          <w:bCs/>
        </w:rPr>
        <w:t>Income eligibility for 1) Households receiving rental assistance for up to 24 months, and 2) Households living in single-household units (not congregate living) supported by CHG Facility Support funds for greater than 90 days and up to 24 months is as follows:</w:t>
      </w:r>
    </w:p>
    <w:p w:rsidR="00B226A8" w:rsidRPr="00E55BF1" w:rsidRDefault="00B226A8" w:rsidP="007B4C71">
      <w:pPr>
        <w:shd w:val="clear" w:color="auto" w:fill="FFFFFF" w:themeFill="background1"/>
        <w:rPr>
          <w:b/>
          <w:bCs/>
        </w:rPr>
      </w:pPr>
    </w:p>
    <w:p w:rsidR="009F55BC" w:rsidRPr="0039185F" w:rsidRDefault="00865E75" w:rsidP="000853D3">
      <w:pPr>
        <w:shd w:val="clear" w:color="auto" w:fill="FFFFFF" w:themeFill="background1"/>
        <w:rPr>
          <w:b/>
          <w:bCs/>
          <w:u w:val="single"/>
        </w:rPr>
      </w:pPr>
      <w:r w:rsidRPr="0039185F">
        <w:rPr>
          <w:b/>
          <w:bCs/>
          <w:u w:val="single"/>
        </w:rPr>
        <w:t>Homeless</w:t>
      </w:r>
    </w:p>
    <w:p w:rsidR="00865E75" w:rsidRPr="0039185F" w:rsidRDefault="00865E75" w:rsidP="00865E75">
      <w:pPr>
        <w:rPr>
          <w:bCs/>
        </w:rPr>
      </w:pPr>
    </w:p>
    <w:p w:rsidR="00825960" w:rsidRPr="0039185F" w:rsidRDefault="00825960" w:rsidP="00760B91">
      <w:pPr>
        <w:pStyle w:val="ListParagraph"/>
        <w:numPr>
          <w:ilvl w:val="0"/>
          <w:numId w:val="19"/>
        </w:numPr>
      </w:pPr>
      <w:r w:rsidRPr="0039185F">
        <w:t>Individuals or h</w:t>
      </w:r>
      <w:r w:rsidR="009F55BC" w:rsidRPr="0039185F">
        <w:t xml:space="preserve">ouseholds </w:t>
      </w:r>
      <w:r w:rsidR="009F55BC" w:rsidRPr="0039185F">
        <w:rPr>
          <w:b/>
          <w:i/>
        </w:rPr>
        <w:t>with</w:t>
      </w:r>
      <w:r w:rsidR="009F55BC" w:rsidRPr="0039185F">
        <w:t xml:space="preserve"> </w:t>
      </w:r>
      <w:r w:rsidR="006775F1" w:rsidRPr="0039185F">
        <w:t xml:space="preserve">minor </w:t>
      </w:r>
      <w:r w:rsidR="009F55BC" w:rsidRPr="0039185F">
        <w:t>children</w:t>
      </w:r>
      <w:r w:rsidRPr="0039185F">
        <w:t>:</w:t>
      </w:r>
    </w:p>
    <w:p w:rsidR="009F55BC" w:rsidRPr="0039185F" w:rsidRDefault="00825960" w:rsidP="001A31DB">
      <w:pPr>
        <w:pStyle w:val="ListParagraph"/>
        <w:numPr>
          <w:ilvl w:val="1"/>
          <w:numId w:val="19"/>
        </w:numPr>
        <w:ind w:left="1080"/>
      </w:pPr>
      <w:r w:rsidRPr="0039185F">
        <w:t xml:space="preserve">With </w:t>
      </w:r>
      <w:r w:rsidR="009F55BC" w:rsidRPr="0039185F">
        <w:t>incomes at or below the Very Low (50</w:t>
      </w:r>
      <w:r w:rsidR="00527516" w:rsidRPr="0039185F">
        <w:t xml:space="preserve"> percent</w:t>
      </w:r>
      <w:r w:rsidR="009F55BC" w:rsidRPr="0039185F">
        <w:t>) Income Limits for their county are eligible.</w:t>
      </w:r>
    </w:p>
    <w:p w:rsidR="009F55BC" w:rsidRPr="0039185F" w:rsidRDefault="009F55BC" w:rsidP="009F55BC">
      <w:pPr>
        <w:rPr>
          <w:sz w:val="16"/>
          <w:szCs w:val="16"/>
        </w:rPr>
      </w:pPr>
    </w:p>
    <w:p w:rsidR="00825960" w:rsidRPr="0039185F" w:rsidRDefault="009F55BC" w:rsidP="00760B91">
      <w:pPr>
        <w:pStyle w:val="ListParagraph"/>
        <w:numPr>
          <w:ilvl w:val="0"/>
          <w:numId w:val="19"/>
        </w:numPr>
      </w:pPr>
      <w:r w:rsidRPr="0039185F">
        <w:t xml:space="preserve">Individuals or households </w:t>
      </w:r>
      <w:r w:rsidRPr="0039185F">
        <w:rPr>
          <w:b/>
          <w:i/>
        </w:rPr>
        <w:t>without</w:t>
      </w:r>
      <w:r w:rsidRPr="0039185F">
        <w:t xml:space="preserve"> </w:t>
      </w:r>
      <w:r w:rsidR="006775F1" w:rsidRPr="0039185F">
        <w:t xml:space="preserve">minor </w:t>
      </w:r>
      <w:r w:rsidRPr="0039185F">
        <w:t>children</w:t>
      </w:r>
      <w:r w:rsidR="00825960" w:rsidRPr="0039185F">
        <w:t>:</w:t>
      </w:r>
    </w:p>
    <w:p w:rsidR="00865E75" w:rsidRPr="0039185F" w:rsidRDefault="00825960" w:rsidP="001A31DB">
      <w:pPr>
        <w:pStyle w:val="ListParagraph"/>
        <w:numPr>
          <w:ilvl w:val="1"/>
          <w:numId w:val="19"/>
        </w:numPr>
        <w:ind w:left="1080"/>
      </w:pPr>
      <w:r w:rsidRPr="0039185F">
        <w:t xml:space="preserve">With </w:t>
      </w:r>
      <w:r w:rsidR="009F55BC" w:rsidRPr="0039185F">
        <w:t>incomes at or below the Extremely Low (30</w:t>
      </w:r>
      <w:r w:rsidR="00527516" w:rsidRPr="0039185F">
        <w:t xml:space="preserve"> percent</w:t>
      </w:r>
      <w:r w:rsidR="009F55BC" w:rsidRPr="0039185F">
        <w:t>) Income Limits for their county are eligible.</w:t>
      </w:r>
    </w:p>
    <w:p w:rsidR="00CC6FE8" w:rsidRPr="0039185F" w:rsidRDefault="00CC6FE8" w:rsidP="00CC6FE8"/>
    <w:p w:rsidR="00CC6FE8" w:rsidRPr="0039185F" w:rsidRDefault="00865E75" w:rsidP="00CC6FE8">
      <w:pPr>
        <w:rPr>
          <w:b/>
          <w:u w:val="single"/>
        </w:rPr>
      </w:pPr>
      <w:r w:rsidRPr="0039185F">
        <w:rPr>
          <w:b/>
          <w:u w:val="single"/>
        </w:rPr>
        <w:t xml:space="preserve">At Risk of </w:t>
      </w:r>
      <w:r w:rsidR="00EA1B69" w:rsidRPr="0039185F">
        <w:rPr>
          <w:b/>
          <w:u w:val="single"/>
        </w:rPr>
        <w:t xml:space="preserve">Becoming </w:t>
      </w:r>
      <w:r w:rsidRPr="0039185F">
        <w:rPr>
          <w:b/>
          <w:u w:val="single"/>
        </w:rPr>
        <w:t>Homeless</w:t>
      </w:r>
    </w:p>
    <w:p w:rsidR="00CC6FE8" w:rsidRPr="0039185F" w:rsidRDefault="00CC6FE8" w:rsidP="001A31DB">
      <w:pPr>
        <w:tabs>
          <w:tab w:val="left" w:pos="720"/>
          <w:tab w:val="left" w:pos="1080"/>
        </w:tabs>
        <w:rPr>
          <w:u w:val="single"/>
        </w:rPr>
      </w:pPr>
    </w:p>
    <w:p w:rsidR="00825960" w:rsidRPr="0039185F" w:rsidRDefault="00865E75" w:rsidP="00760B91">
      <w:pPr>
        <w:pStyle w:val="ListParagraph"/>
        <w:numPr>
          <w:ilvl w:val="0"/>
          <w:numId w:val="19"/>
        </w:numPr>
      </w:pPr>
      <w:r w:rsidRPr="0039185F">
        <w:t>Individuals or h</w:t>
      </w:r>
      <w:r w:rsidR="00C10360" w:rsidRPr="0039185F">
        <w:t xml:space="preserve">ouseholds </w:t>
      </w:r>
      <w:r w:rsidRPr="0039185F">
        <w:rPr>
          <w:b/>
          <w:i/>
        </w:rPr>
        <w:t>with</w:t>
      </w:r>
      <w:r w:rsidR="008643CB" w:rsidRPr="0039185F">
        <w:rPr>
          <w:b/>
          <w:i/>
        </w:rPr>
        <w:t xml:space="preserve"> or without</w:t>
      </w:r>
      <w:r w:rsidRPr="0039185F">
        <w:t xml:space="preserve"> </w:t>
      </w:r>
      <w:r w:rsidR="006775F1" w:rsidRPr="0039185F">
        <w:t xml:space="preserve">minor </w:t>
      </w:r>
      <w:r w:rsidRPr="0039185F">
        <w:t>children</w:t>
      </w:r>
      <w:r w:rsidR="00825960" w:rsidRPr="0039185F">
        <w:t>:</w:t>
      </w:r>
    </w:p>
    <w:p w:rsidR="00C10360" w:rsidRPr="0039185F" w:rsidRDefault="00825960" w:rsidP="001A31DB">
      <w:pPr>
        <w:pStyle w:val="ListParagraph"/>
        <w:numPr>
          <w:ilvl w:val="1"/>
          <w:numId w:val="19"/>
        </w:numPr>
        <w:ind w:left="1080"/>
      </w:pPr>
      <w:r w:rsidRPr="0039185F">
        <w:lastRenderedPageBreak/>
        <w:t xml:space="preserve">With </w:t>
      </w:r>
      <w:r w:rsidR="00C10360" w:rsidRPr="0039185F">
        <w:t>incomes at or below the Extremely Low (30</w:t>
      </w:r>
      <w:r w:rsidR="00527516" w:rsidRPr="0039185F">
        <w:t xml:space="preserve"> percent</w:t>
      </w:r>
      <w:r w:rsidR="00C10360" w:rsidRPr="0039185F">
        <w:t>) Income Limits for their county are eligible.</w:t>
      </w:r>
    </w:p>
    <w:p w:rsidR="00777E15" w:rsidRDefault="00777E15" w:rsidP="007B4C71">
      <w:pPr>
        <w:shd w:val="clear" w:color="auto" w:fill="FFFFFF" w:themeFill="background1"/>
        <w:rPr>
          <w:b/>
          <w:bCs/>
        </w:rPr>
      </w:pPr>
    </w:p>
    <w:p w:rsidR="00777E15" w:rsidRDefault="009F55BC" w:rsidP="007B4C71">
      <w:pPr>
        <w:shd w:val="clear" w:color="auto" w:fill="FFFFFF" w:themeFill="background1"/>
        <w:rPr>
          <w:b/>
          <w:bCs/>
        </w:rPr>
      </w:pPr>
      <w:r w:rsidRPr="00652368">
        <w:rPr>
          <w:b/>
          <w:bCs/>
        </w:rPr>
        <w:t>Recertification of Income E</w:t>
      </w:r>
      <w:r>
        <w:rPr>
          <w:b/>
          <w:bCs/>
        </w:rPr>
        <w:t>ligibility</w:t>
      </w:r>
    </w:p>
    <w:p w:rsidR="009F55BC" w:rsidRDefault="009F55BC" w:rsidP="009F55BC">
      <w:pPr>
        <w:shd w:val="clear" w:color="auto" w:fill="FFFFFF"/>
      </w:pPr>
      <w:r w:rsidRPr="00652368">
        <w:t xml:space="preserve">A household’s income must be re-certified at least </w:t>
      </w:r>
      <w:r w:rsidRPr="004928CA">
        <w:t xml:space="preserve">every </w:t>
      </w:r>
      <w:r w:rsidR="004E1253" w:rsidRPr="004928CA">
        <w:t xml:space="preserve">6 </w:t>
      </w:r>
      <w:r w:rsidRPr="004928CA">
        <w:t>months or</w:t>
      </w:r>
      <w:r w:rsidRPr="00652368">
        <w:t xml:space="preserve"> more frequently</w:t>
      </w:r>
      <w:r>
        <w:t xml:space="preserve"> using the CHG Income Recertification form and must be addressed in the Lead/Sub Grantees CHG policies and/or procedures. </w:t>
      </w:r>
      <w:r w:rsidRPr="00652368">
        <w:t xml:space="preserve">To ensure that the re-examination process is completed on time it should begin well in advance of the household’s </w:t>
      </w:r>
      <w:r w:rsidR="006775F1">
        <w:t>6 months in program date</w:t>
      </w:r>
      <w:r w:rsidRPr="00652368">
        <w:t>.</w:t>
      </w:r>
      <w:r>
        <w:t xml:space="preserve">  </w:t>
      </w:r>
      <w:r w:rsidRPr="00652368">
        <w:t>Recertified income information must be updated in HMIS.</w:t>
      </w:r>
    </w:p>
    <w:p w:rsidR="009F55BC" w:rsidRPr="00652368" w:rsidRDefault="009F55BC" w:rsidP="009F55BC">
      <w:pPr>
        <w:shd w:val="clear" w:color="auto" w:fill="FFFFFF"/>
      </w:pPr>
    </w:p>
    <w:p w:rsidR="009F55BC" w:rsidRPr="00652368" w:rsidRDefault="009F55BC" w:rsidP="009F55BC">
      <w:pPr>
        <w:jc w:val="both"/>
      </w:pPr>
      <w:r w:rsidRPr="00652368">
        <w:t>Households are no longer eligible for rent assistance when incomes exceed:</w:t>
      </w:r>
    </w:p>
    <w:p w:rsidR="009F55BC" w:rsidRPr="00652368" w:rsidRDefault="009F55BC" w:rsidP="009F55BC">
      <w:pPr>
        <w:jc w:val="both"/>
      </w:pPr>
    </w:p>
    <w:p w:rsidR="009F55BC" w:rsidRDefault="009F55BC" w:rsidP="00760B91">
      <w:pPr>
        <w:pStyle w:val="ListParagraph"/>
        <w:numPr>
          <w:ilvl w:val="0"/>
          <w:numId w:val="15"/>
        </w:numPr>
      </w:pPr>
      <w:r>
        <w:t>Very Low (50</w:t>
      </w:r>
      <w:r w:rsidR="00527516">
        <w:t xml:space="preserve"> percent</w:t>
      </w:r>
      <w:r>
        <w:t xml:space="preserve">) Income Limits </w:t>
      </w:r>
      <w:r w:rsidRPr="00652368">
        <w:t xml:space="preserve">for their county, for </w:t>
      </w:r>
      <w:r>
        <w:t>households</w:t>
      </w:r>
      <w:r w:rsidRPr="00652368">
        <w:t xml:space="preserve"> with </w:t>
      </w:r>
      <w:r w:rsidR="006775F1">
        <w:t xml:space="preserve">minor </w:t>
      </w:r>
      <w:r w:rsidRPr="00652368">
        <w:t>children.</w:t>
      </w:r>
    </w:p>
    <w:p w:rsidR="009F55BC" w:rsidRPr="00331487" w:rsidRDefault="009F55BC" w:rsidP="009F55BC">
      <w:pPr>
        <w:pStyle w:val="ListParagraph"/>
        <w:rPr>
          <w:sz w:val="16"/>
          <w:szCs w:val="16"/>
        </w:rPr>
      </w:pPr>
    </w:p>
    <w:p w:rsidR="009F55BC" w:rsidRPr="00652368" w:rsidRDefault="009F55BC" w:rsidP="00760B91">
      <w:pPr>
        <w:pStyle w:val="ListParagraph"/>
        <w:numPr>
          <w:ilvl w:val="0"/>
          <w:numId w:val="15"/>
        </w:numPr>
      </w:pPr>
      <w:r>
        <w:t>Extremely Low (30</w:t>
      </w:r>
      <w:r w:rsidR="00527516">
        <w:t xml:space="preserve"> percent</w:t>
      </w:r>
      <w:r>
        <w:t>) Income Limits</w:t>
      </w:r>
      <w:r w:rsidRPr="00652368">
        <w:t xml:space="preserve"> for their county, for individuals or </w:t>
      </w:r>
      <w:r>
        <w:t>households</w:t>
      </w:r>
      <w:r w:rsidRPr="00652368">
        <w:t xml:space="preserve"> without children.</w:t>
      </w:r>
    </w:p>
    <w:p w:rsidR="009F55BC" w:rsidRPr="00652368" w:rsidRDefault="009F55BC" w:rsidP="009F55BC">
      <w:pPr>
        <w:ind w:left="1080"/>
      </w:pPr>
    </w:p>
    <w:p w:rsidR="009F55BC" w:rsidRPr="00652368" w:rsidRDefault="009F55BC" w:rsidP="009F55BC">
      <w:pPr>
        <w:shd w:val="clear" w:color="auto" w:fill="FFFFFF"/>
      </w:pPr>
      <w:r w:rsidRPr="0039185F">
        <w:t xml:space="preserve">When households are determined over income, </w:t>
      </w:r>
      <w:r w:rsidR="004928CA" w:rsidRPr="0039185F">
        <w:t>rent assistance can be extended for up to an additional 3 months</w:t>
      </w:r>
      <w:r w:rsidR="00EB4566" w:rsidRPr="0039185F">
        <w:t xml:space="preserve"> and case management can continue for up to an additional 6 months</w:t>
      </w:r>
      <w:r w:rsidR="004928CA" w:rsidRPr="0039185F">
        <w:t>.</w:t>
      </w:r>
      <w:r w:rsidR="004928CA">
        <w:t xml:space="preserve"> </w:t>
      </w:r>
    </w:p>
    <w:p w:rsidR="009F55BC" w:rsidRDefault="009F55BC" w:rsidP="009F55BC"/>
    <w:p w:rsidR="00890D9F" w:rsidRDefault="004E1253" w:rsidP="00535941">
      <w:r>
        <w:t>I</w:t>
      </w:r>
      <w:r w:rsidR="00535941" w:rsidRPr="00535941">
        <w:t xml:space="preserve">ncome reassessments </w:t>
      </w:r>
      <w:r>
        <w:t>are required to be</w:t>
      </w:r>
      <w:r w:rsidRPr="00535941">
        <w:t xml:space="preserve"> </w:t>
      </w:r>
      <w:r w:rsidR="00535941" w:rsidRPr="00535941">
        <w:t xml:space="preserve">recorded in HMIS every </w:t>
      </w:r>
      <w:r>
        <w:t>6</w:t>
      </w:r>
      <w:r w:rsidRPr="00535941">
        <w:t xml:space="preserve"> </w:t>
      </w:r>
      <w:r w:rsidR="00535941" w:rsidRPr="00535941">
        <w:t>months that a client is engaged in services. It is recommended that the income eligibility recertification and HMIS update be completed at the same time.</w:t>
      </w:r>
      <w:r w:rsidR="00535941">
        <w:t xml:space="preserve"> </w:t>
      </w:r>
    </w:p>
    <w:p w:rsidR="00535941" w:rsidRPr="00652368" w:rsidRDefault="00535941" w:rsidP="009F55BC"/>
    <w:p w:rsidR="007B4C71" w:rsidRDefault="002660EB" w:rsidP="007B4C71">
      <w:pPr>
        <w:shd w:val="clear" w:color="auto" w:fill="C6D9F1" w:themeFill="text2" w:themeFillTint="33"/>
        <w:tabs>
          <w:tab w:val="left" w:pos="0"/>
        </w:tabs>
        <w:rPr>
          <w:b/>
          <w:bCs/>
        </w:rPr>
      </w:pPr>
      <w:r w:rsidRPr="00162B76">
        <w:rPr>
          <w:b/>
          <w:bCs/>
        </w:rPr>
        <w:t xml:space="preserve">Eligibility for </w:t>
      </w:r>
      <w:r w:rsidR="009F55BC" w:rsidRPr="00162B76">
        <w:rPr>
          <w:b/>
          <w:bCs/>
        </w:rPr>
        <w:t xml:space="preserve">Households with </w:t>
      </w:r>
      <w:r w:rsidR="006775F1">
        <w:rPr>
          <w:b/>
          <w:bCs/>
        </w:rPr>
        <w:t xml:space="preserve">Minor </w:t>
      </w:r>
      <w:r w:rsidR="009F55BC" w:rsidRPr="00162B76">
        <w:rPr>
          <w:b/>
          <w:bCs/>
        </w:rPr>
        <w:t>Children</w:t>
      </w:r>
      <w:r w:rsidRPr="00162B76">
        <w:rPr>
          <w:b/>
          <w:bCs/>
        </w:rPr>
        <w:t xml:space="preserve"> </w:t>
      </w:r>
    </w:p>
    <w:p w:rsidR="009F55BC" w:rsidRDefault="009F55BC" w:rsidP="004A1711">
      <w:pPr>
        <w:tabs>
          <w:tab w:val="left" w:pos="0"/>
        </w:tabs>
        <w:rPr>
          <w:b/>
          <w:bCs/>
        </w:rPr>
      </w:pPr>
    </w:p>
    <w:p w:rsidR="00535941" w:rsidRDefault="00330E17" w:rsidP="009F55BC">
      <w:pPr>
        <w:tabs>
          <w:tab w:val="left" w:pos="0"/>
        </w:tabs>
      </w:pPr>
      <w:r w:rsidRPr="009F55BC">
        <w:t>Households with</w:t>
      </w:r>
      <w:r w:rsidR="006775F1">
        <w:t xml:space="preserve"> minor</w:t>
      </w:r>
      <w:r w:rsidRPr="009F55BC">
        <w:t xml:space="preserve"> children include persons who are pregnant or who have one or more children under the age of 18. Households whose children are over the age of 18 and under 21 qualify if they are living at home. Pregnant or parenting youth under the age of 18 qualify as independent households if they are legally emancipated or reside in DSHS licensed or approved facilities. Children temporarily absent from the home may be counted as household members.</w:t>
      </w:r>
    </w:p>
    <w:p w:rsidR="00890D9F" w:rsidRDefault="00890D9F" w:rsidP="009F55BC">
      <w:pPr>
        <w:tabs>
          <w:tab w:val="left" w:pos="0"/>
        </w:tabs>
      </w:pPr>
    </w:p>
    <w:p w:rsidR="00890D9F" w:rsidRPr="00613D50" w:rsidRDefault="00EB2633" w:rsidP="00890D9F">
      <w:pPr>
        <w:shd w:val="clear" w:color="auto" w:fill="C6D9F1" w:themeFill="text2" w:themeFillTint="33"/>
        <w:tabs>
          <w:tab w:val="left" w:pos="0"/>
        </w:tabs>
        <w:rPr>
          <w:b/>
          <w:bCs/>
        </w:rPr>
      </w:pPr>
      <w:r>
        <w:rPr>
          <w:b/>
          <w:bCs/>
        </w:rPr>
        <w:t xml:space="preserve">Client </w:t>
      </w:r>
      <w:r w:rsidR="00AA75B0" w:rsidRPr="00613D50">
        <w:rPr>
          <w:b/>
          <w:bCs/>
        </w:rPr>
        <w:t>Fraud</w:t>
      </w:r>
      <w:r w:rsidR="00890D9F" w:rsidRPr="00613D50">
        <w:rPr>
          <w:b/>
          <w:bCs/>
        </w:rPr>
        <w:t xml:space="preserve"> </w:t>
      </w:r>
    </w:p>
    <w:p w:rsidR="00890D9F" w:rsidRPr="00613D50" w:rsidRDefault="00890D9F" w:rsidP="009F55BC">
      <w:pPr>
        <w:tabs>
          <w:tab w:val="left" w:pos="0"/>
        </w:tabs>
      </w:pPr>
    </w:p>
    <w:p w:rsidR="00890D9F" w:rsidRDefault="00AA75B0" w:rsidP="00A40512">
      <w:pPr>
        <w:tabs>
          <w:tab w:val="left" w:pos="0"/>
        </w:tabs>
        <w:spacing w:after="60"/>
      </w:pPr>
      <w:r w:rsidRPr="00613D50">
        <w:t xml:space="preserve">If you find that a </w:t>
      </w:r>
      <w:r w:rsidR="00890D9F" w:rsidRPr="00613D50">
        <w:t>client h</w:t>
      </w:r>
      <w:r w:rsidRPr="00613D50">
        <w:t xml:space="preserve">as </w:t>
      </w:r>
      <w:r w:rsidR="00890D9F" w:rsidRPr="00613D50">
        <w:t>defrauded your organization, you are required to report to local</w:t>
      </w:r>
      <w:r w:rsidRPr="00613D50">
        <w:t xml:space="preserve"> law enforcement authorities</w:t>
      </w:r>
      <w:r w:rsidR="00890D9F" w:rsidRPr="00613D50">
        <w:t xml:space="preserve">, </w:t>
      </w:r>
      <w:r w:rsidRPr="00613D50">
        <w:t xml:space="preserve">inform Commerce, </w:t>
      </w:r>
      <w:r w:rsidR="00890D9F" w:rsidRPr="00613D50">
        <w:t>and repay any CHG funds expended on behalf of ineligible clients or expenses.</w:t>
      </w:r>
    </w:p>
    <w:p w:rsidR="00AA77CA" w:rsidRPr="00330E17" w:rsidRDefault="00330E17" w:rsidP="00AA77CA">
      <w:pPr>
        <w:tabs>
          <w:tab w:val="left" w:pos="0"/>
        </w:tabs>
        <w:rPr>
          <w:sz w:val="23"/>
          <w:szCs w:val="23"/>
        </w:rPr>
      </w:pPr>
      <w:r w:rsidRPr="008C70DD">
        <w:t xml:space="preserve"> </w:t>
      </w:r>
    </w:p>
    <w:p w:rsidR="00330E17" w:rsidRDefault="009F55BC" w:rsidP="009F55BC">
      <w:pPr>
        <w:tabs>
          <w:tab w:val="left" w:pos="360"/>
        </w:tabs>
        <w:ind w:left="720" w:hanging="630"/>
        <w:rPr>
          <w:strike/>
        </w:rPr>
      </w:pPr>
      <w:r>
        <w:rPr>
          <w:b/>
          <w:bCs/>
        </w:rPr>
        <w:t>4</w:t>
      </w:r>
      <w:r w:rsidR="00330E17" w:rsidRPr="00330E17">
        <w:rPr>
          <w:b/>
          <w:bCs/>
        </w:rPr>
        <w:t>.</w:t>
      </w:r>
      <w:r>
        <w:rPr>
          <w:b/>
          <w:bCs/>
        </w:rPr>
        <w:t xml:space="preserve"> </w:t>
      </w:r>
      <w:r w:rsidR="00330E17" w:rsidRPr="00330E17">
        <w:rPr>
          <w:b/>
          <w:bCs/>
        </w:rPr>
        <w:tab/>
        <w:t xml:space="preserve">Documentation </w:t>
      </w:r>
      <w:r w:rsidR="007B4C71">
        <w:rPr>
          <w:b/>
          <w:bCs/>
        </w:rPr>
        <w:t>of Eligibility</w:t>
      </w:r>
    </w:p>
    <w:p w:rsidR="00330E17" w:rsidRDefault="006256D1" w:rsidP="00330E17">
      <w:pPr>
        <w:pStyle w:val="Default"/>
        <w:ind w:left="1080"/>
      </w:pPr>
      <w:r>
        <w:rPr>
          <w:noProof/>
        </w:rPr>
        <w:pict>
          <v:rect id="Rectangle 304" o:spid="_x0000_s1029" style="position:absolute;left:0;text-align:left;margin-left:-2.4pt;margin-top:-16.8pt;width:473.4pt;height:29.4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" fillcolor="#d8d8d8"/>
        </w:pict>
      </w:r>
    </w:p>
    <w:p w:rsidR="00330E17" w:rsidRDefault="00330E17" w:rsidP="00330E17">
      <w:pPr>
        <w:pStyle w:val="Default"/>
        <w:ind w:left="1080"/>
        <w:rPr>
          <w:rFonts w:ascii="Times New Roman" w:hAnsi="Times New Roman" w:cs="Times New Roman"/>
        </w:rPr>
      </w:pPr>
    </w:p>
    <w:p w:rsidR="00330E17" w:rsidRDefault="00533E7A" w:rsidP="007B4C71">
      <w:pPr>
        <w:rPr>
          <w:b/>
        </w:rPr>
      </w:pPr>
      <w:r w:rsidRPr="003C7E0F">
        <w:t>Lead/Sub Grantees</w:t>
      </w:r>
      <w:r>
        <w:t xml:space="preserve"> are responsible for verifying and documenting the eligibility of households receiving </w:t>
      </w:r>
      <w:r w:rsidRPr="00D34323">
        <w:t xml:space="preserve">rent/utility assistance for any length of stay, </w:t>
      </w:r>
      <w:r w:rsidR="00DD2733">
        <w:rPr>
          <w:caps/>
        </w:rPr>
        <w:t xml:space="preserve">or </w:t>
      </w:r>
      <w:r w:rsidRPr="00D34323">
        <w:t>bed nights in a program with a maximum length of stay of greater than 90 days</w:t>
      </w:r>
      <w:r w:rsidR="00DD2733">
        <w:rPr>
          <w:b/>
        </w:rPr>
        <w:t xml:space="preserve"> </w:t>
      </w:r>
      <w:r>
        <w:t xml:space="preserve">prior to providing CHG funded assistance. They are also responsible for maintaining the CHG Verification of Household Eligibility form </w:t>
      </w:r>
      <w:r w:rsidR="007B4C71">
        <w:t xml:space="preserve">and </w:t>
      </w:r>
      <w:r>
        <w:t xml:space="preserve">associated documentation in the households’ files. </w:t>
      </w:r>
    </w:p>
    <w:p w:rsidR="00330E17" w:rsidRDefault="00533E7A" w:rsidP="007B4C71">
      <w:pPr>
        <w:pStyle w:val="Default"/>
        <w:rPr>
          <w:rFonts w:ascii="Times New Roman" w:hAnsi="Times New Roman" w:cs="Times New Roman"/>
        </w:rPr>
      </w:pPr>
      <w:r>
        <w:rPr>
          <w:rFonts w:ascii="Times New Roman" w:hAnsi="Times New Roman" w:cs="Times New Roman"/>
        </w:rPr>
        <w:lastRenderedPageBreak/>
        <w:t xml:space="preserve">Commerce allows various types of documentation, ranging from third party verification to applicant self declaration. Minimum acceptable types of documentation vary depending on the type of income or particular housing status and circumstance being documented. General documentation standards, </w:t>
      </w:r>
      <w:r>
        <w:rPr>
          <w:rFonts w:ascii="Times New Roman" w:hAnsi="Times New Roman" w:cs="Times New Roman"/>
          <w:i/>
          <w:iCs/>
        </w:rPr>
        <w:t>in order of preference</w:t>
      </w:r>
      <w:r>
        <w:rPr>
          <w:rFonts w:ascii="Times New Roman" w:hAnsi="Times New Roman" w:cs="Times New Roman"/>
        </w:rPr>
        <w:t xml:space="preserve">, are as follows: </w:t>
      </w:r>
    </w:p>
    <w:p w:rsidR="002E5379" w:rsidRDefault="002E5379" w:rsidP="00330E17">
      <w:pPr>
        <w:pStyle w:val="Default"/>
        <w:ind w:left="1080"/>
        <w:rPr>
          <w:rFonts w:ascii="Times New Roman" w:hAnsi="Times New Roman" w:cs="Times New Roman"/>
        </w:rPr>
      </w:pPr>
    </w:p>
    <w:p w:rsidR="000B02D6" w:rsidRDefault="00533E7A" w:rsidP="00760B91">
      <w:pPr>
        <w:pStyle w:val="Default"/>
        <w:numPr>
          <w:ilvl w:val="0"/>
          <w:numId w:val="32"/>
        </w:numPr>
        <w:rPr>
          <w:rFonts w:ascii="Times New Roman" w:hAnsi="Times New Roman" w:cs="Times New Roman"/>
          <w:bCs/>
        </w:rPr>
      </w:pPr>
      <w:r w:rsidRPr="000B02D6">
        <w:rPr>
          <w:rFonts w:ascii="Times New Roman" w:hAnsi="Times New Roman" w:cs="Times New Roman"/>
          <w:bCs/>
        </w:rPr>
        <w:t>Written Third Party</w:t>
      </w:r>
    </w:p>
    <w:p w:rsidR="00330E17" w:rsidRDefault="00533E7A" w:rsidP="000B02D6">
      <w:pPr>
        <w:pStyle w:val="Default"/>
        <w:ind w:left="720"/>
        <w:rPr>
          <w:rFonts w:ascii="Times New Roman" w:hAnsi="Times New Roman" w:cs="Times New Roman"/>
        </w:rPr>
      </w:pPr>
      <w:r>
        <w:rPr>
          <w:rFonts w:ascii="Times New Roman" w:hAnsi="Times New Roman" w:cs="Times New Roman"/>
        </w:rPr>
        <w:t>Verification in writing from a third party (e.g., individual employer, Social Security Administration, welfare office, emergency shelter provider, etc.) either directly to staff or via the applicant is most preferred. Written third party documentation may include standardized forms, such as a verification of income statement.</w:t>
      </w:r>
    </w:p>
    <w:p w:rsidR="00B60C11" w:rsidRPr="001A31DB" w:rsidRDefault="00B60C11" w:rsidP="000B02D6">
      <w:pPr>
        <w:pStyle w:val="Default"/>
        <w:ind w:left="720"/>
        <w:rPr>
          <w:rFonts w:ascii="Times New Roman" w:hAnsi="Times New Roman" w:cs="Times New Roman"/>
          <w:sz w:val="16"/>
          <w:szCs w:val="16"/>
        </w:rPr>
      </w:pPr>
    </w:p>
    <w:p w:rsidR="000B02D6" w:rsidRDefault="00533E7A" w:rsidP="00760B91">
      <w:pPr>
        <w:pStyle w:val="Default"/>
        <w:numPr>
          <w:ilvl w:val="0"/>
          <w:numId w:val="32"/>
        </w:numPr>
        <w:rPr>
          <w:rFonts w:ascii="Times New Roman" w:hAnsi="Times New Roman" w:cs="Times New Roman"/>
          <w:bCs/>
        </w:rPr>
      </w:pPr>
      <w:r w:rsidRPr="000B02D6">
        <w:rPr>
          <w:rFonts w:ascii="Times New Roman" w:hAnsi="Times New Roman" w:cs="Times New Roman"/>
          <w:bCs/>
        </w:rPr>
        <w:t>Oral Third Party</w:t>
      </w:r>
    </w:p>
    <w:p w:rsidR="00330E17" w:rsidRDefault="00533E7A" w:rsidP="000B02D6">
      <w:pPr>
        <w:pStyle w:val="Default"/>
        <w:ind w:left="720"/>
        <w:rPr>
          <w:rFonts w:ascii="Times New Roman" w:hAnsi="Times New Roman" w:cs="Times New Roman"/>
          <w:i/>
          <w:iCs/>
        </w:rPr>
      </w:pPr>
      <w:r>
        <w:rPr>
          <w:rFonts w:ascii="Times New Roman" w:hAnsi="Times New Roman" w:cs="Times New Roman"/>
        </w:rPr>
        <w:t xml:space="preserve">Verification from a third party (e.g., individual employer, Social Security Administration, welfare office, etc.) provided by the third party over the telephone or in-person directly to staff. Oral third party verification is acceptable only if written third party verification cannot be obtained. </w:t>
      </w:r>
      <w:r>
        <w:rPr>
          <w:rFonts w:ascii="Times New Roman" w:hAnsi="Times New Roman" w:cs="Times New Roman"/>
          <w:i/>
          <w:iCs/>
        </w:rPr>
        <w:t xml:space="preserve">Please note this is different from applicant self-declaration of income. If an applicant orally declares income, it would fall under “applicant self-declaration” below. </w:t>
      </w:r>
      <w:r w:rsidR="00DD0C92" w:rsidRPr="00DD0C92">
        <w:rPr>
          <w:rFonts w:ascii="Times New Roman" w:hAnsi="Times New Roman" w:cs="Times New Roman"/>
          <w:iCs/>
        </w:rPr>
        <w:t>See CHG Documentation of Third Party Oral Verification form.</w:t>
      </w:r>
    </w:p>
    <w:p w:rsidR="00330E17" w:rsidRPr="000B02D6" w:rsidRDefault="00330E17" w:rsidP="00535941">
      <w:pPr>
        <w:pStyle w:val="Default"/>
        <w:rPr>
          <w:rFonts w:ascii="Times New Roman" w:hAnsi="Times New Roman" w:cs="Times New Roman"/>
          <w:sz w:val="16"/>
          <w:szCs w:val="16"/>
        </w:rPr>
      </w:pPr>
    </w:p>
    <w:p w:rsidR="00330E17" w:rsidRDefault="00533E7A" w:rsidP="00760B91">
      <w:pPr>
        <w:pStyle w:val="Default"/>
        <w:numPr>
          <w:ilvl w:val="0"/>
          <w:numId w:val="32"/>
        </w:numPr>
        <w:rPr>
          <w:rFonts w:ascii="Times New Roman" w:hAnsi="Times New Roman" w:cs="Times New Roman"/>
        </w:rPr>
      </w:pPr>
      <w:r w:rsidRPr="000B02D6">
        <w:rPr>
          <w:rFonts w:ascii="Times New Roman" w:hAnsi="Times New Roman" w:cs="Times New Roman"/>
          <w:bCs/>
        </w:rPr>
        <w:t>Applicant Self-Declaration</w:t>
      </w:r>
      <w:r>
        <w:rPr>
          <w:rFonts w:ascii="Times New Roman" w:hAnsi="Times New Roman" w:cs="Times New Roman"/>
        </w:rPr>
        <w:t>—income and housing status as reported by the household is allowable, but is only acceptable if written or verbal third party verification cannot be obtained. Self-declaration of housing status (e.g., eviction) should be rare; it is always a reasonable choice for victims of domestic violence.</w:t>
      </w:r>
      <w:r w:rsidR="00794083">
        <w:rPr>
          <w:rFonts w:ascii="Times New Roman" w:hAnsi="Times New Roman" w:cs="Times New Roman"/>
        </w:rPr>
        <w:t xml:space="preserve"> </w:t>
      </w:r>
      <w:r w:rsidR="00FA6906">
        <w:rPr>
          <w:rFonts w:ascii="Times New Roman" w:hAnsi="Times New Roman" w:cs="Times New Roman"/>
        </w:rPr>
        <w:t>See CHG Self-Declaration form.</w:t>
      </w:r>
    </w:p>
    <w:p w:rsidR="007B4C71" w:rsidRPr="000B02D6" w:rsidRDefault="007B4C71" w:rsidP="00535941">
      <w:pPr>
        <w:rPr>
          <w:b/>
          <w:bCs/>
          <w:sz w:val="16"/>
          <w:szCs w:val="16"/>
        </w:rPr>
      </w:pPr>
    </w:p>
    <w:p w:rsidR="00330E17" w:rsidRPr="000B02D6" w:rsidRDefault="00533E7A" w:rsidP="000B02D6">
      <w:pPr>
        <w:ind w:left="720"/>
        <w:rPr>
          <w:bCs/>
        </w:rPr>
      </w:pPr>
      <w:r>
        <w:t xml:space="preserve">Lead/Sub Grantees </w:t>
      </w:r>
      <w:r w:rsidRPr="00093ED3">
        <w:t>should note that self-declaration of housing status for participants who are at-risk of losing housing is acceptable ONLY in very limited circumstances. Commerce recognizes there may be some unusual cases where a third party is not able to provide documentation that a participant is at-risk of losing housing (</w:t>
      </w:r>
      <w:r>
        <w:t>e.g</w:t>
      </w:r>
      <w:r w:rsidRPr="00093ED3">
        <w:t xml:space="preserve">., death of a landlord). </w:t>
      </w:r>
    </w:p>
    <w:p w:rsidR="0017538D" w:rsidRPr="00B51ED7" w:rsidRDefault="0017538D"/>
    <w:p w:rsidR="005460C3" w:rsidRPr="005460C3" w:rsidRDefault="00E660FD" w:rsidP="005460C3">
      <w:pPr>
        <w:shd w:val="clear" w:color="auto" w:fill="C6D9F1" w:themeFill="text2" w:themeFillTint="33"/>
        <w:rPr>
          <w:b/>
        </w:rPr>
      </w:pPr>
      <w:r>
        <w:rPr>
          <w:b/>
        </w:rPr>
        <w:t xml:space="preserve">Documentation of </w:t>
      </w:r>
      <w:r w:rsidR="005460C3" w:rsidRPr="005460C3">
        <w:rPr>
          <w:b/>
        </w:rPr>
        <w:t>Housing Status</w:t>
      </w:r>
      <w:r>
        <w:rPr>
          <w:b/>
        </w:rPr>
        <w:t xml:space="preserve"> </w:t>
      </w:r>
    </w:p>
    <w:p w:rsidR="005460C3" w:rsidRDefault="005460C3" w:rsidP="009D21DE"/>
    <w:p w:rsidR="00E660FD" w:rsidRDefault="00E660FD" w:rsidP="00E660FD">
      <w:r w:rsidRPr="0039185F">
        <w:t xml:space="preserve">Standards and procedures for documenting </w:t>
      </w:r>
      <w:r w:rsidR="0039185F">
        <w:rPr>
          <w:bCs/>
          <w:iCs/>
        </w:rPr>
        <w:t>Housing S</w:t>
      </w:r>
      <w:r w:rsidRPr="0039185F">
        <w:rPr>
          <w:bCs/>
          <w:iCs/>
        </w:rPr>
        <w:t>tatus</w:t>
      </w:r>
      <w:r w:rsidRPr="0039185F">
        <w:rPr>
          <w:b/>
          <w:bCs/>
          <w:i/>
          <w:iCs/>
        </w:rPr>
        <w:t xml:space="preserve"> </w:t>
      </w:r>
      <w:r w:rsidR="0039185F" w:rsidRPr="0039185F">
        <w:t>are detailed in Appendix B – Housing Status Documentation</w:t>
      </w:r>
      <w:r w:rsidRPr="0039185F">
        <w:t>.</w:t>
      </w:r>
    </w:p>
    <w:p w:rsidR="005156EA" w:rsidRPr="008A711B" w:rsidRDefault="005156EA">
      <w:pPr>
        <w:rPr>
          <w:b/>
        </w:rPr>
      </w:pPr>
    </w:p>
    <w:p w:rsidR="00330E17" w:rsidRPr="005460C3" w:rsidRDefault="00E660FD" w:rsidP="0029260C">
      <w:pPr>
        <w:shd w:val="clear" w:color="auto" w:fill="C6D9F1" w:themeFill="text2" w:themeFillTint="33"/>
        <w:tabs>
          <w:tab w:val="left" w:pos="360"/>
        </w:tabs>
        <w:rPr>
          <w:b/>
          <w:bCs/>
        </w:rPr>
      </w:pPr>
      <w:r>
        <w:rPr>
          <w:b/>
          <w:bCs/>
        </w:rPr>
        <w:t xml:space="preserve">Documentation of </w:t>
      </w:r>
      <w:r w:rsidR="005460C3">
        <w:rPr>
          <w:b/>
          <w:bCs/>
        </w:rPr>
        <w:t>Income</w:t>
      </w:r>
    </w:p>
    <w:p w:rsidR="005460C3" w:rsidRDefault="005460C3" w:rsidP="00330E17">
      <w:pPr>
        <w:pStyle w:val="ListParagraph"/>
        <w:tabs>
          <w:tab w:val="left" w:pos="0"/>
        </w:tabs>
        <w:ind w:left="0"/>
        <w:rPr>
          <w:b/>
          <w:bCs/>
          <w:highlight w:val="yellow"/>
        </w:rPr>
      </w:pPr>
    </w:p>
    <w:p w:rsidR="00107530" w:rsidRPr="00E418D9" w:rsidRDefault="00107530" w:rsidP="00330E17">
      <w:pPr>
        <w:pStyle w:val="ListParagraph"/>
        <w:tabs>
          <w:tab w:val="left" w:pos="0"/>
        </w:tabs>
        <w:ind w:left="0"/>
      </w:pPr>
      <w:r w:rsidRPr="00E418D9">
        <w:t xml:space="preserve">Department of Social and Health Services (DSHS) Benefits Verification </w:t>
      </w:r>
      <w:r w:rsidRPr="00A5082F">
        <w:t>System (BVS) print out is acceptable for any form of income in lieu of other income documentation.</w:t>
      </w:r>
      <w:r w:rsidR="00133F0A" w:rsidRPr="00A5082F">
        <w:t xml:space="preserve"> If</w:t>
      </w:r>
      <w:r w:rsidR="00A5082F">
        <w:t xml:space="preserve"> </w:t>
      </w:r>
      <w:r w:rsidR="00133F0A" w:rsidRPr="00A5082F">
        <w:t xml:space="preserve"> BVS</w:t>
      </w:r>
      <w:r w:rsidR="00133F0A" w:rsidRPr="00E418D9">
        <w:t xml:space="preserve"> documentation is not available, follow the income definition and documentation standards below.</w:t>
      </w:r>
    </w:p>
    <w:p w:rsidR="00970C69" w:rsidRDefault="00970C69" w:rsidP="00330E17">
      <w:pPr>
        <w:pStyle w:val="ListParagraph"/>
        <w:tabs>
          <w:tab w:val="left" w:pos="0"/>
        </w:tabs>
        <w:ind w:left="0"/>
        <w:rPr>
          <w:b/>
          <w:bCs/>
        </w:rPr>
      </w:pPr>
    </w:p>
    <w:p w:rsidR="00330E17" w:rsidRPr="005460C3" w:rsidRDefault="00330E17" w:rsidP="00330E17">
      <w:pPr>
        <w:pStyle w:val="ListParagraph"/>
        <w:tabs>
          <w:tab w:val="left" w:pos="0"/>
        </w:tabs>
        <w:ind w:left="0"/>
        <w:rPr>
          <w:b/>
          <w:bCs/>
        </w:rPr>
      </w:pPr>
      <w:r w:rsidRPr="005460C3">
        <w:rPr>
          <w:b/>
          <w:bCs/>
        </w:rPr>
        <w:t>Income Definition</w:t>
      </w:r>
    </w:p>
    <w:p w:rsidR="00330E17" w:rsidRPr="005460C3" w:rsidRDefault="00330E17" w:rsidP="00330E17">
      <w:pPr>
        <w:pStyle w:val="ListParagraph"/>
        <w:tabs>
          <w:tab w:val="left" w:pos="0"/>
        </w:tabs>
        <w:ind w:left="0"/>
      </w:pPr>
      <w:r w:rsidRPr="005460C3">
        <w:t xml:space="preserve">Income is money that is paid to, or on behalf of, the head of household or spouse (even if temporarily absent) or to any other household member. (Victims fleeing domestic violence do not have to report the abuser’s income.) Income includes the current (not projected) gross income (annualized) of all adult </w:t>
      </w:r>
      <w:r w:rsidR="00ED7079">
        <w:t xml:space="preserve">(18 years and older) </w:t>
      </w:r>
      <w:r w:rsidRPr="005460C3">
        <w:t>household members and unearned income attributable to a minor.</w:t>
      </w:r>
      <w:r w:rsidR="00533E7A" w:rsidRPr="005460C3">
        <w:t xml:space="preserve"> </w:t>
      </w:r>
    </w:p>
    <w:p w:rsidR="00330E17" w:rsidRPr="006C6269" w:rsidRDefault="00330E17" w:rsidP="00330E17">
      <w:pPr>
        <w:pStyle w:val="QuickA"/>
        <w:numPr>
          <w:ilvl w:val="0"/>
          <w:numId w:val="0"/>
        </w:numPr>
        <w:tabs>
          <w:tab w:val="left" w:pos="0"/>
        </w:tabs>
        <w:rPr>
          <w:b/>
          <w:bCs/>
          <w:sz w:val="20"/>
          <w:szCs w:val="20"/>
        </w:rPr>
      </w:pPr>
    </w:p>
    <w:p w:rsidR="00914FBF" w:rsidRDefault="00330E17" w:rsidP="00330E17">
      <w:pPr>
        <w:tabs>
          <w:tab w:val="left" w:pos="0"/>
        </w:tabs>
      </w:pPr>
      <w:r w:rsidRPr="005460C3">
        <w:t>The definition of income reflects a household’s income at the time they are seeking assistance. Accordingly, documents and information collected to verify income should be recent. Documentation dated within 30 days is acceptable. However, for public assistance benefits, (e.g., SSI, food stamps), a benefits statement received any time within the twelve months prior to the time of application and reflecting current benefits received by a household is allowed. A copy of a recent bank statement indicating direct deposit is also acceptable.</w:t>
      </w:r>
      <w:r w:rsidR="006252F5">
        <w:t xml:space="preserve"> </w:t>
      </w:r>
    </w:p>
    <w:p w:rsidR="00914FBF" w:rsidRPr="006C6269" w:rsidRDefault="00914FBF" w:rsidP="00330E17">
      <w:pPr>
        <w:tabs>
          <w:tab w:val="left" w:pos="0"/>
        </w:tabs>
        <w:rPr>
          <w:sz w:val="20"/>
          <w:szCs w:val="20"/>
        </w:rPr>
      </w:pPr>
    </w:p>
    <w:p w:rsidR="00330E17" w:rsidRPr="008C70DD" w:rsidRDefault="00914FBF" w:rsidP="00330E17">
      <w:pPr>
        <w:tabs>
          <w:tab w:val="left" w:pos="0"/>
        </w:tabs>
      </w:pPr>
      <w:r>
        <w:t xml:space="preserve">Calculations for determining income </w:t>
      </w:r>
      <w:r w:rsidR="008D4CE5">
        <w:t>must</w:t>
      </w:r>
      <w:r>
        <w:t xml:space="preserve"> be clearly evident in the client file. In addition the Verification of Household Eligibility Form</w:t>
      </w:r>
      <w:r w:rsidR="008D4CE5">
        <w:t xml:space="preserve"> and income documentation</w:t>
      </w:r>
      <w:r>
        <w:t xml:space="preserve"> </w:t>
      </w:r>
      <w:r w:rsidR="008D4CE5">
        <w:t>are</w:t>
      </w:r>
      <w:r>
        <w:t xml:space="preserve"> required and must be kept in the client file</w:t>
      </w:r>
      <w:r w:rsidR="008D4CE5">
        <w:t>.</w:t>
      </w:r>
    </w:p>
    <w:p w:rsidR="00533E7A" w:rsidRPr="006C6269" w:rsidRDefault="00533E7A" w:rsidP="00533E7A">
      <w:pPr>
        <w:rPr>
          <w:sz w:val="20"/>
          <w:szCs w:val="20"/>
        </w:rPr>
      </w:pPr>
    </w:p>
    <w:p w:rsidR="00533E7A" w:rsidRPr="003A4F7C" w:rsidRDefault="00330E17" w:rsidP="00533E7A">
      <w:r w:rsidRPr="00E660FD">
        <w:t>The</w:t>
      </w:r>
      <w:r w:rsidRPr="003A4F7C">
        <w:t xml:space="preserve"> following types of income “inclusions” must be counted when calculating current gross income: </w:t>
      </w:r>
    </w:p>
    <w:p w:rsidR="00533E7A" w:rsidRPr="006C6269" w:rsidRDefault="00533E7A" w:rsidP="00533E7A">
      <w:pPr>
        <w:rPr>
          <w:sz w:val="18"/>
          <w:szCs w:val="18"/>
        </w:rPr>
      </w:pPr>
    </w:p>
    <w:p w:rsidR="00533E7A" w:rsidRDefault="00330E17" w:rsidP="00EE51FF">
      <w:pPr>
        <w:pStyle w:val="ListParagraph"/>
        <w:numPr>
          <w:ilvl w:val="0"/>
          <w:numId w:val="4"/>
        </w:numPr>
        <w:ind w:left="720"/>
      </w:pPr>
      <w:r w:rsidRPr="003A4F7C">
        <w:t>Earned Income</w:t>
      </w:r>
    </w:p>
    <w:p w:rsidR="00535941" w:rsidRPr="00331487" w:rsidRDefault="00535941" w:rsidP="00535941">
      <w:pPr>
        <w:pStyle w:val="ListParagraph"/>
        <w:rPr>
          <w:sz w:val="16"/>
          <w:szCs w:val="16"/>
        </w:rPr>
      </w:pPr>
    </w:p>
    <w:p w:rsidR="00533E7A" w:rsidRPr="003A4F7C" w:rsidRDefault="00330E17" w:rsidP="00EE51FF">
      <w:pPr>
        <w:pStyle w:val="ListParagraph"/>
        <w:numPr>
          <w:ilvl w:val="0"/>
          <w:numId w:val="4"/>
        </w:numPr>
        <w:ind w:left="720"/>
      </w:pPr>
      <w:r w:rsidRPr="003A4F7C">
        <w:t>Self Employment/Business Income</w:t>
      </w:r>
    </w:p>
    <w:p w:rsidR="00535941" w:rsidRPr="00331487" w:rsidRDefault="00535941" w:rsidP="00535941">
      <w:pPr>
        <w:pStyle w:val="ListParagraph"/>
        <w:rPr>
          <w:sz w:val="16"/>
          <w:szCs w:val="16"/>
        </w:rPr>
      </w:pPr>
    </w:p>
    <w:p w:rsidR="00533E7A" w:rsidRPr="003A4F7C" w:rsidRDefault="00330E17" w:rsidP="00EE51FF">
      <w:pPr>
        <w:pStyle w:val="ListParagraph"/>
        <w:numPr>
          <w:ilvl w:val="0"/>
          <w:numId w:val="4"/>
        </w:numPr>
        <w:ind w:left="720"/>
      </w:pPr>
      <w:r w:rsidRPr="003A4F7C">
        <w:t>Interest and Dividend Income</w:t>
      </w:r>
    </w:p>
    <w:p w:rsidR="00535941" w:rsidRPr="00331487" w:rsidRDefault="00535941" w:rsidP="00535941">
      <w:pPr>
        <w:pStyle w:val="ListParagraph"/>
        <w:rPr>
          <w:sz w:val="16"/>
          <w:szCs w:val="16"/>
        </w:rPr>
      </w:pPr>
    </w:p>
    <w:p w:rsidR="00533E7A" w:rsidRPr="003A4F7C" w:rsidRDefault="00330E17" w:rsidP="00EE51FF">
      <w:pPr>
        <w:pStyle w:val="ListParagraph"/>
        <w:numPr>
          <w:ilvl w:val="0"/>
          <w:numId w:val="4"/>
        </w:numPr>
        <w:ind w:left="720"/>
      </w:pPr>
      <w:r w:rsidRPr="003A4F7C">
        <w:t>Pension and Retirement Income</w:t>
      </w:r>
    </w:p>
    <w:p w:rsidR="00535941" w:rsidRPr="00C177AA" w:rsidRDefault="00535941" w:rsidP="00535941">
      <w:pPr>
        <w:pStyle w:val="ListParagraph"/>
        <w:rPr>
          <w:sz w:val="16"/>
          <w:szCs w:val="16"/>
        </w:rPr>
      </w:pPr>
    </w:p>
    <w:p w:rsidR="00533E7A" w:rsidRPr="003A4F7C" w:rsidRDefault="00330E17" w:rsidP="00EE51FF">
      <w:pPr>
        <w:pStyle w:val="ListParagraph"/>
        <w:numPr>
          <w:ilvl w:val="0"/>
          <w:numId w:val="4"/>
        </w:numPr>
        <w:ind w:left="720"/>
      </w:pPr>
      <w:r w:rsidRPr="003A4F7C">
        <w:t>Unemployment and Disability Income</w:t>
      </w:r>
    </w:p>
    <w:p w:rsidR="00535941" w:rsidRPr="00331487" w:rsidRDefault="00535941" w:rsidP="00535941">
      <w:pPr>
        <w:pStyle w:val="ListParagraph"/>
        <w:rPr>
          <w:sz w:val="16"/>
          <w:szCs w:val="16"/>
        </w:rPr>
      </w:pPr>
    </w:p>
    <w:p w:rsidR="00533E7A" w:rsidRPr="003A4F7C" w:rsidRDefault="00330E17" w:rsidP="00EE51FF">
      <w:pPr>
        <w:pStyle w:val="ListParagraph"/>
        <w:numPr>
          <w:ilvl w:val="0"/>
          <w:numId w:val="4"/>
        </w:numPr>
        <w:ind w:left="720"/>
      </w:pPr>
      <w:r w:rsidRPr="003A4F7C">
        <w:t>TANF/Public Assistance</w:t>
      </w:r>
    </w:p>
    <w:p w:rsidR="00535941" w:rsidRPr="00331487" w:rsidRDefault="00535941" w:rsidP="00535941">
      <w:pPr>
        <w:pStyle w:val="ListParagraph"/>
        <w:rPr>
          <w:sz w:val="16"/>
          <w:szCs w:val="16"/>
        </w:rPr>
      </w:pPr>
    </w:p>
    <w:p w:rsidR="00533E7A" w:rsidRPr="003A4F7C" w:rsidRDefault="00330E17" w:rsidP="00EE51FF">
      <w:pPr>
        <w:pStyle w:val="ListParagraph"/>
        <w:numPr>
          <w:ilvl w:val="0"/>
          <w:numId w:val="4"/>
        </w:numPr>
        <w:ind w:left="720"/>
      </w:pPr>
      <w:r w:rsidRPr="003A4F7C">
        <w:t>Alimony, Child Support and Foster Care Income</w:t>
      </w:r>
    </w:p>
    <w:p w:rsidR="00535941" w:rsidRPr="00331487" w:rsidRDefault="00535941" w:rsidP="00535941">
      <w:pPr>
        <w:pStyle w:val="ListParagraph"/>
        <w:rPr>
          <w:sz w:val="16"/>
          <w:szCs w:val="16"/>
        </w:rPr>
      </w:pPr>
    </w:p>
    <w:p w:rsidR="00330E17" w:rsidRPr="003A4F7C" w:rsidRDefault="00330E17" w:rsidP="00EE51FF">
      <w:pPr>
        <w:pStyle w:val="ListParagraph"/>
        <w:numPr>
          <w:ilvl w:val="0"/>
          <w:numId w:val="4"/>
        </w:numPr>
        <w:ind w:left="720"/>
      </w:pPr>
      <w:r w:rsidRPr="003A4F7C">
        <w:t>Armed Forces Income</w:t>
      </w:r>
    </w:p>
    <w:p w:rsidR="00330E17" w:rsidRDefault="00330E17" w:rsidP="00330E17">
      <w:pPr>
        <w:pStyle w:val="ListParagraph"/>
        <w:ind w:left="1080"/>
        <w:rPr>
          <w:i/>
          <w:highlight w:val="yellow"/>
        </w:rPr>
      </w:pPr>
    </w:p>
    <w:p w:rsidR="008D4CE5" w:rsidRDefault="008D4CE5" w:rsidP="008D4CE5">
      <w:r>
        <w:t>Income Eligibility Documentation Standards</w:t>
      </w:r>
      <w:r w:rsidRPr="008C2F26">
        <w:t xml:space="preserve"> </w:t>
      </w:r>
      <w:r>
        <w:t>are found in</w:t>
      </w:r>
      <w:r w:rsidR="003F5AFB">
        <w:t xml:space="preserve"> Appendix C</w:t>
      </w:r>
      <w:r>
        <w:t xml:space="preserve">. </w:t>
      </w:r>
    </w:p>
    <w:p w:rsidR="008D4CE5" w:rsidRPr="008C70DD" w:rsidRDefault="008D4CE5" w:rsidP="00330E17">
      <w:pPr>
        <w:pStyle w:val="ListParagraph"/>
        <w:ind w:left="1080"/>
        <w:rPr>
          <w:i/>
          <w:highlight w:val="yellow"/>
        </w:rPr>
      </w:pPr>
    </w:p>
    <w:p w:rsidR="00533E7A" w:rsidRPr="00E660FD" w:rsidRDefault="00330E17" w:rsidP="00533E7A">
      <w:pPr>
        <w:pStyle w:val="Default"/>
        <w:rPr>
          <w:rFonts w:ascii="Times New Roman" w:hAnsi="Times New Roman" w:cs="Times New Roman"/>
          <w:b/>
          <w:bCs/>
        </w:rPr>
      </w:pPr>
      <w:r w:rsidRPr="00E660FD">
        <w:rPr>
          <w:rFonts w:ascii="Times New Roman" w:hAnsi="Times New Roman" w:cs="Times New Roman"/>
          <w:b/>
          <w:bCs/>
        </w:rPr>
        <w:t xml:space="preserve">Annualizing Wages and Periodic Payments </w:t>
      </w:r>
    </w:p>
    <w:p w:rsidR="00533E7A" w:rsidRPr="00E660FD" w:rsidRDefault="00330E17" w:rsidP="00533E7A">
      <w:pPr>
        <w:pStyle w:val="Default"/>
        <w:rPr>
          <w:rFonts w:ascii="Times New Roman" w:hAnsi="Times New Roman" w:cs="Times New Roman"/>
        </w:rPr>
      </w:pPr>
      <w:r w:rsidRPr="00E660FD">
        <w:rPr>
          <w:rFonts w:ascii="Times New Roman" w:hAnsi="Times New Roman" w:cs="Times New Roman"/>
        </w:rPr>
        <w:t xml:space="preserve">When calculating income based on hourly, weekly, or monthly payment information, add the gross amount earned in each payment period that is documented and divide by the number of payment periods. This provides an average wage per payment period. Depending on pay periods used by the employer or the schedule of periodic payments, the following calculations convert the average wage into annual income: </w:t>
      </w:r>
    </w:p>
    <w:p w:rsidR="00533E7A" w:rsidRPr="00E660FD" w:rsidRDefault="00533E7A" w:rsidP="00533E7A">
      <w:pPr>
        <w:pStyle w:val="LEVELC"/>
        <w:spacing w:after="60"/>
        <w:rPr>
          <w:rFonts w:ascii="Times New Roman" w:hAnsi="Times New Roman" w:cs="Times New Roman"/>
          <w:color w:val="000000"/>
        </w:rPr>
      </w:pPr>
    </w:p>
    <w:p w:rsidR="00533E7A" w:rsidRPr="00E660FD" w:rsidRDefault="00330E17" w:rsidP="00EE51FF">
      <w:pPr>
        <w:pStyle w:val="ListParagraph"/>
        <w:numPr>
          <w:ilvl w:val="0"/>
          <w:numId w:val="4"/>
        </w:numPr>
        <w:ind w:left="720"/>
        <w:rPr>
          <w:color w:val="000000"/>
        </w:rPr>
      </w:pPr>
      <w:r w:rsidRPr="00E660FD">
        <w:t>Hourly</w:t>
      </w:r>
      <w:r w:rsidRPr="00E660FD">
        <w:rPr>
          <w:color w:val="000000"/>
        </w:rPr>
        <w:t xml:space="preserve"> Wage multiplied by Hours Worked per Week multiplied by 52 weeks </w:t>
      </w:r>
    </w:p>
    <w:p w:rsidR="00535941" w:rsidRPr="00331487" w:rsidRDefault="00535941" w:rsidP="00535941">
      <w:pPr>
        <w:rPr>
          <w:color w:val="000000"/>
          <w:sz w:val="16"/>
          <w:szCs w:val="16"/>
        </w:rPr>
      </w:pPr>
    </w:p>
    <w:p w:rsidR="00533E7A" w:rsidRPr="00E660FD" w:rsidRDefault="00330E17" w:rsidP="00EE51FF">
      <w:pPr>
        <w:pStyle w:val="ListParagraph"/>
        <w:numPr>
          <w:ilvl w:val="0"/>
          <w:numId w:val="4"/>
        </w:numPr>
        <w:ind w:left="720"/>
        <w:rPr>
          <w:color w:val="000000"/>
        </w:rPr>
      </w:pPr>
      <w:r w:rsidRPr="00E660FD">
        <w:t xml:space="preserve">Weekly Wage multiplied by 52 weeks </w:t>
      </w:r>
    </w:p>
    <w:p w:rsidR="00535941" w:rsidRPr="00331487" w:rsidRDefault="00535941" w:rsidP="00535941">
      <w:pPr>
        <w:rPr>
          <w:sz w:val="16"/>
          <w:szCs w:val="16"/>
        </w:rPr>
      </w:pPr>
    </w:p>
    <w:p w:rsidR="00533E7A" w:rsidRPr="00E660FD" w:rsidRDefault="00330E17" w:rsidP="00EE51FF">
      <w:pPr>
        <w:pStyle w:val="ListParagraph"/>
        <w:numPr>
          <w:ilvl w:val="0"/>
          <w:numId w:val="4"/>
        </w:numPr>
        <w:ind w:left="720"/>
      </w:pPr>
      <w:r w:rsidRPr="00E660FD">
        <w:t xml:space="preserve">Bi-Weekly (every other week) Wage multiplied by 26 bi-weekly periods </w:t>
      </w:r>
    </w:p>
    <w:p w:rsidR="00535941" w:rsidRPr="00331487" w:rsidRDefault="00535941" w:rsidP="00535941">
      <w:pPr>
        <w:rPr>
          <w:sz w:val="16"/>
          <w:szCs w:val="16"/>
        </w:rPr>
      </w:pPr>
    </w:p>
    <w:p w:rsidR="00533E7A" w:rsidRPr="00E660FD" w:rsidRDefault="00330E17" w:rsidP="00EE51FF">
      <w:pPr>
        <w:pStyle w:val="ListParagraph"/>
        <w:numPr>
          <w:ilvl w:val="0"/>
          <w:numId w:val="4"/>
        </w:numPr>
        <w:ind w:left="720"/>
      </w:pPr>
      <w:r w:rsidRPr="00E660FD">
        <w:t xml:space="preserve">Semi-Monthly Wage (twice a month) multiplied by 24 semi-monthly periods </w:t>
      </w:r>
    </w:p>
    <w:p w:rsidR="00535941" w:rsidRPr="00331487" w:rsidRDefault="00535941" w:rsidP="00535941">
      <w:pPr>
        <w:rPr>
          <w:sz w:val="16"/>
          <w:szCs w:val="16"/>
        </w:rPr>
      </w:pPr>
    </w:p>
    <w:p w:rsidR="00533E7A" w:rsidRDefault="00330E17" w:rsidP="00EE51FF">
      <w:pPr>
        <w:pStyle w:val="ListParagraph"/>
        <w:numPr>
          <w:ilvl w:val="0"/>
          <w:numId w:val="4"/>
        </w:numPr>
        <w:ind w:left="720"/>
      </w:pPr>
      <w:r w:rsidRPr="00E660FD">
        <w:t xml:space="preserve">Monthly Wage multiplied by 12 months </w:t>
      </w:r>
    </w:p>
    <w:p w:rsidR="001A31DB" w:rsidRDefault="001A31DB" w:rsidP="001A31DB">
      <w:pPr>
        <w:pStyle w:val="ListParagraph"/>
      </w:pPr>
    </w:p>
    <w:p w:rsidR="001A31DB" w:rsidRPr="00E660FD" w:rsidRDefault="001A31DB" w:rsidP="001A31DB">
      <w:pPr>
        <w:pStyle w:val="ListParagraph"/>
      </w:pPr>
    </w:p>
    <w:p w:rsidR="0017538D" w:rsidRDefault="00DD71F5" w:rsidP="00DD71F5">
      <w:pPr>
        <w:shd w:val="clear" w:color="auto" w:fill="C6D9F1" w:themeFill="text2" w:themeFillTint="33"/>
        <w:rPr>
          <w:b/>
          <w:bCs/>
        </w:rPr>
      </w:pPr>
      <w:r>
        <w:rPr>
          <w:b/>
          <w:bCs/>
        </w:rPr>
        <w:lastRenderedPageBreak/>
        <w:t xml:space="preserve">Documentation of Eligibility for Households with </w:t>
      </w:r>
      <w:r w:rsidR="009E1F26">
        <w:rPr>
          <w:b/>
          <w:bCs/>
        </w:rPr>
        <w:t xml:space="preserve">Minor </w:t>
      </w:r>
      <w:r>
        <w:rPr>
          <w:b/>
          <w:bCs/>
        </w:rPr>
        <w:t>Children</w:t>
      </w:r>
    </w:p>
    <w:p w:rsidR="00E660FD" w:rsidRPr="001B6671" w:rsidRDefault="00E660FD" w:rsidP="008623EB">
      <w:pPr>
        <w:rPr>
          <w:b/>
          <w:bCs/>
        </w:rPr>
      </w:pPr>
    </w:p>
    <w:p w:rsidR="00E660FD" w:rsidRDefault="004F63CB" w:rsidP="008623EB">
      <w:pPr>
        <w:rPr>
          <w:b/>
          <w:bCs/>
          <w:sz w:val="26"/>
          <w:szCs w:val="26"/>
        </w:rPr>
      </w:pPr>
      <w:r>
        <w:rPr>
          <w:bCs/>
        </w:rPr>
        <w:t>Options for d</w:t>
      </w:r>
      <w:r w:rsidR="001B6671" w:rsidRPr="001B6671">
        <w:rPr>
          <w:bCs/>
        </w:rPr>
        <w:t>ocument</w:t>
      </w:r>
      <w:r>
        <w:rPr>
          <w:bCs/>
        </w:rPr>
        <w:t xml:space="preserve">ing the age of children in a household varies according to age.  </w:t>
      </w:r>
      <w:r w:rsidR="006252F5">
        <w:rPr>
          <w:bCs/>
        </w:rPr>
        <w:t>T</w:t>
      </w:r>
      <w:r>
        <w:rPr>
          <w:bCs/>
        </w:rPr>
        <w:t xml:space="preserve">he </w:t>
      </w:r>
      <w:r w:rsidR="004E0A78" w:rsidRPr="004E0A78">
        <w:rPr>
          <w:bCs/>
        </w:rPr>
        <w:t>CHG Verification of Household Eligibility</w:t>
      </w:r>
      <w:r>
        <w:rPr>
          <w:bCs/>
        </w:rPr>
        <w:t xml:space="preserve"> </w:t>
      </w:r>
      <w:r w:rsidR="006252F5">
        <w:rPr>
          <w:bCs/>
        </w:rPr>
        <w:t>F</w:t>
      </w:r>
      <w:r>
        <w:rPr>
          <w:bCs/>
        </w:rPr>
        <w:t xml:space="preserve">orm </w:t>
      </w:r>
      <w:r w:rsidR="006252F5">
        <w:rPr>
          <w:bCs/>
        </w:rPr>
        <w:t xml:space="preserve">is </w:t>
      </w:r>
      <w:r w:rsidR="00B70FAB">
        <w:rPr>
          <w:bCs/>
        </w:rPr>
        <w:t>required;</w:t>
      </w:r>
      <w:r w:rsidR="006252F5">
        <w:rPr>
          <w:bCs/>
        </w:rPr>
        <w:t xml:space="preserve"> see Section 4 (Eligible Children Verification) </w:t>
      </w:r>
      <w:r>
        <w:rPr>
          <w:bCs/>
        </w:rPr>
        <w:t>for specifics.</w:t>
      </w:r>
      <w:r w:rsidR="008D4CE5">
        <w:rPr>
          <w:bCs/>
        </w:rPr>
        <w:t xml:space="preserve"> This</w:t>
      </w:r>
      <w:r>
        <w:rPr>
          <w:bCs/>
        </w:rPr>
        <w:t xml:space="preserve"> </w:t>
      </w:r>
      <w:r w:rsidR="008D4CE5">
        <w:t>requirement appli</w:t>
      </w:r>
      <w:r w:rsidR="00B70FAB">
        <w:t>es when CHG funds are used for facility s</w:t>
      </w:r>
      <w:r w:rsidR="008D4CE5">
        <w:t>upp</w:t>
      </w:r>
      <w:r w:rsidR="00B70FAB">
        <w:t xml:space="preserve">ort (90 days up to </w:t>
      </w:r>
      <w:r w:rsidR="00D72A1F">
        <w:t>24 months</w:t>
      </w:r>
      <w:r w:rsidR="00B70FAB">
        <w:t>) or rent a</w:t>
      </w:r>
      <w:r w:rsidR="008D4CE5">
        <w:t>ssistance for households with minor children.</w:t>
      </w:r>
    </w:p>
    <w:p w:rsidR="00115A08" w:rsidRDefault="00115A08">
      <w:pPr>
        <w:rPr>
          <w:b/>
          <w:bCs/>
          <w:sz w:val="26"/>
          <w:szCs w:val="26"/>
        </w:rPr>
      </w:pPr>
    </w:p>
    <w:p w:rsidR="001637BC" w:rsidRDefault="006256D1" w:rsidP="008623EB">
      <w:pPr>
        <w:rPr>
          <w:b/>
          <w:bCs/>
          <w:sz w:val="26"/>
          <w:szCs w:val="26"/>
        </w:rPr>
      </w:pPr>
      <w:r>
        <w:rPr>
          <w:b/>
          <w:bCs/>
          <w:noProof/>
          <w:sz w:val="26"/>
          <w:szCs w:val="26"/>
        </w:rPr>
        <w:pict>
          <v:rect id="Rectangle 310" o:spid="_x0000_s1028" style="position:absolute;margin-left:-11.9pt;margin-top:-.75pt;width:473.4pt;height:29.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" fillcolor="#d8d8d8">
            <v:textbox>
              <w:txbxContent>
                <w:p w:rsidR="001A31DB" w:rsidRDefault="001A31DB" w:rsidP="001637BC">
                  <w:pPr>
                    <w:tabs>
                      <w:tab w:val="left" w:pos="360"/>
                    </w:tabs>
                    <w:ind w:left="720" w:hanging="630"/>
                    <w:rPr>
                      <w:strike/>
                    </w:rPr>
                  </w:pPr>
                  <w:r>
                    <w:rPr>
                      <w:b/>
                      <w:bCs/>
                    </w:rPr>
                    <w:t>5</w:t>
                  </w:r>
                  <w:r w:rsidRPr="00330E17">
                    <w:rPr>
                      <w:b/>
                      <w:bCs/>
                    </w:rPr>
                    <w:t>.</w:t>
                  </w:r>
                  <w:r>
                    <w:rPr>
                      <w:b/>
                      <w:bCs/>
                    </w:rPr>
                    <w:t xml:space="preserve"> </w:t>
                  </w:r>
                  <w:r w:rsidRPr="00330E17">
                    <w:rPr>
                      <w:b/>
                      <w:bCs/>
                    </w:rPr>
                    <w:tab/>
                  </w:r>
                  <w:r>
                    <w:rPr>
                      <w:b/>
                      <w:bCs/>
                    </w:rPr>
                    <w:t>Eligible Activities and Expenses</w:t>
                  </w:r>
                </w:p>
                <w:p w:rsidR="001A31DB" w:rsidRDefault="001A31DB" w:rsidP="001637BC"/>
              </w:txbxContent>
            </v:textbox>
          </v:rect>
        </w:pict>
      </w:r>
    </w:p>
    <w:p w:rsidR="001637BC" w:rsidRDefault="001637BC" w:rsidP="008623EB">
      <w:pPr>
        <w:rPr>
          <w:b/>
          <w:bCs/>
          <w:sz w:val="26"/>
          <w:szCs w:val="26"/>
        </w:rPr>
      </w:pPr>
    </w:p>
    <w:p w:rsidR="005B4998" w:rsidRDefault="005B4998" w:rsidP="008623EB">
      <w:pPr>
        <w:rPr>
          <w:b/>
          <w:bCs/>
          <w:sz w:val="26"/>
          <w:szCs w:val="26"/>
        </w:rPr>
      </w:pPr>
    </w:p>
    <w:p w:rsidR="003206A3" w:rsidRDefault="005B4998" w:rsidP="001A31DB">
      <w:r w:rsidRPr="0007701E">
        <w:t xml:space="preserve">CHG assistance is not intended to provide long-term support for households, nor will it be able to address all of the financial and supportive services needs of households that affect housing stability. Rather, assistance should be focused on housing stabilization, linking households to community resources and mainstream benefits, and helping them develop a plan for future housing stability. </w:t>
      </w:r>
    </w:p>
    <w:p w:rsidR="003206A3" w:rsidRDefault="003206A3" w:rsidP="001A31DB"/>
    <w:p w:rsidR="005B4998" w:rsidRPr="0007701E" w:rsidRDefault="003206A3" w:rsidP="001A31DB">
      <w:r>
        <w:t>T</w:t>
      </w:r>
      <w:r w:rsidR="005B4998" w:rsidRPr="0007701E">
        <w:t>he five allowable CHG activities plus Performance Funding</w:t>
      </w:r>
      <w:r>
        <w:t xml:space="preserve"> are on the next page</w:t>
      </w:r>
      <w:r w:rsidR="005B4998" w:rsidRPr="0007701E">
        <w:t>. Details and specific information for each activity are explained on the following pages.</w:t>
      </w:r>
    </w:p>
    <w:p w:rsidR="002434C8" w:rsidRDefault="002434C8">
      <w:pPr>
        <w:rPr>
          <w:b/>
          <w:bCs/>
          <w:sz w:val="26"/>
          <w:szCs w:val="26"/>
        </w:rPr>
      </w:pPr>
      <w:r>
        <w:rPr>
          <w:b/>
          <w:bCs/>
          <w:sz w:val="26"/>
          <w:szCs w:val="26"/>
        </w:rPr>
        <w:br w:type="page"/>
      </w:r>
    </w:p>
    <w:tbl>
      <w:tblPr>
        <w:tblStyle w:val="TableGrid"/>
        <w:tblpPr w:leftFromText="180" w:rightFromText="180" w:vertAnchor="page" w:horzAnchor="margin" w:tblpXSpec="center" w:tblpY="1384"/>
        <w:tblW w:w="10548" w:type="dxa"/>
        <w:tblBorders>
          <w:top w:val="none" w:sz="0" w:space="0" w:color="auto"/>
          <w:left w:val="none" w:sz="0" w:space="0" w:color="auto"/>
          <w:bottom w:val="single" w:sz="4" w:space="0" w:color="auto"/>
          <w:right w:val="single" w:sz="4" w:space="0" w:color="auto"/>
          <w:insideH w:val="single" w:sz="4" w:space="0" w:color="auto"/>
          <w:insideV w:val="single" w:sz="4" w:space="0" w:color="auto"/>
        </w:tblBorders>
        <w:tblLayout w:type="fixed"/>
        <w:tblLook w:val="00A0"/>
      </w:tblPr>
      <w:tblGrid>
        <w:gridCol w:w="2898"/>
        <w:gridCol w:w="1440"/>
        <w:gridCol w:w="1080"/>
        <w:gridCol w:w="1170"/>
        <w:gridCol w:w="1080"/>
        <w:gridCol w:w="1530"/>
        <w:gridCol w:w="1350"/>
      </w:tblGrid>
      <w:tr w:rsidR="002434C8" w:rsidTr="00176EDD">
        <w:trPr>
          <w:trHeight w:val="243"/>
        </w:trPr>
        <w:tc>
          <w:tcPr>
            <w:tcW w:w="2898" w:type="dxa"/>
            <w:vMerge w:val="restart"/>
          </w:tcPr>
          <w:p w:rsidR="002434C8" w:rsidRDefault="002434C8" w:rsidP="00176EDD">
            <w:pPr>
              <w:rPr>
                <w:b/>
                <w:sz w:val="18"/>
                <w:szCs w:val="18"/>
              </w:rPr>
            </w:pPr>
          </w:p>
        </w:tc>
        <w:tc>
          <w:tcPr>
            <w:tcW w:w="7650" w:type="dxa"/>
            <w:gridSpan w:val="6"/>
            <w:tcBorders>
              <w:top w:val="single" w:sz="4" w:space="0" w:color="auto"/>
              <w:right w:val="single" w:sz="4" w:space="0" w:color="auto"/>
            </w:tcBorders>
            <w:shd w:val="clear" w:color="auto" w:fill="C2D69B" w:themeFill="accent3" w:themeFillTint="99"/>
          </w:tcPr>
          <w:p w:rsidR="002434C8" w:rsidRDefault="002434C8" w:rsidP="00176EDD">
            <w:pPr>
              <w:ind w:left="78" w:hanging="6"/>
              <w:jc w:val="center"/>
            </w:pPr>
            <w:r>
              <w:rPr>
                <w:b/>
                <w:sz w:val="18"/>
                <w:szCs w:val="18"/>
              </w:rPr>
              <w:t>Budget Categories</w:t>
            </w:r>
          </w:p>
        </w:tc>
      </w:tr>
      <w:tr w:rsidR="002434C8" w:rsidTr="00176EDD">
        <w:trPr>
          <w:trHeight w:val="243"/>
        </w:trPr>
        <w:tc>
          <w:tcPr>
            <w:tcW w:w="2898" w:type="dxa"/>
            <w:vMerge/>
            <w:tcBorders>
              <w:bottom w:val="single" w:sz="4" w:space="0" w:color="auto"/>
            </w:tcBorders>
          </w:tcPr>
          <w:p w:rsidR="002434C8" w:rsidRPr="00B06263" w:rsidRDefault="002434C8" w:rsidP="00176EDD">
            <w:pPr>
              <w:ind w:left="0"/>
              <w:rPr>
                <w:b/>
                <w:sz w:val="18"/>
                <w:szCs w:val="18"/>
              </w:rPr>
            </w:pPr>
          </w:p>
        </w:tc>
        <w:tc>
          <w:tcPr>
            <w:tcW w:w="1440" w:type="dxa"/>
            <w:vMerge w:val="restart"/>
            <w:tcBorders>
              <w:top w:val="single" w:sz="4" w:space="0" w:color="auto"/>
            </w:tcBorders>
            <w:shd w:val="clear" w:color="auto" w:fill="C2D69B" w:themeFill="accent3" w:themeFillTint="99"/>
          </w:tcPr>
          <w:p w:rsidR="002434C8" w:rsidRPr="00517D48" w:rsidRDefault="006256D1" w:rsidP="00176EDD">
            <w:pPr>
              <w:ind w:left="78"/>
              <w:rPr>
                <w:b/>
                <w:sz w:val="18"/>
                <w:szCs w:val="18"/>
              </w:rPr>
            </w:pPr>
            <w:hyperlink r:id="rId9" w:history="1">
              <w:r w:rsidR="002434C8">
                <w:rPr>
                  <w:rStyle w:val="Hyperlink"/>
                  <w:b/>
                  <w:sz w:val="18"/>
                  <w:szCs w:val="18"/>
                </w:rPr>
                <w:t>Rent A</w:t>
              </w:r>
              <w:r w:rsidR="002434C8" w:rsidRPr="00980D9A">
                <w:rPr>
                  <w:rStyle w:val="Hyperlink"/>
                  <w:b/>
                  <w:sz w:val="18"/>
                  <w:szCs w:val="18"/>
                </w:rPr>
                <w:t>ssistance</w:t>
              </w:r>
            </w:hyperlink>
          </w:p>
        </w:tc>
        <w:tc>
          <w:tcPr>
            <w:tcW w:w="1080" w:type="dxa"/>
            <w:vMerge w:val="restart"/>
            <w:tcBorders>
              <w:top w:val="single" w:sz="4" w:space="0" w:color="auto"/>
            </w:tcBorders>
            <w:shd w:val="clear" w:color="auto" w:fill="C2D69B" w:themeFill="accent3" w:themeFillTint="99"/>
          </w:tcPr>
          <w:p w:rsidR="002434C8" w:rsidRPr="00517D48" w:rsidRDefault="006256D1" w:rsidP="00176EDD">
            <w:pPr>
              <w:tabs>
                <w:tab w:val="left" w:pos="342"/>
              </w:tabs>
              <w:ind w:left="78" w:hanging="6"/>
              <w:rPr>
                <w:b/>
                <w:sz w:val="18"/>
                <w:szCs w:val="18"/>
              </w:rPr>
            </w:pPr>
            <w:hyperlink r:id="rId10" w:history="1">
              <w:r w:rsidR="002434C8" w:rsidRPr="00980D9A">
                <w:rPr>
                  <w:rStyle w:val="Hyperlink"/>
                  <w:b/>
                  <w:sz w:val="18"/>
                  <w:szCs w:val="18"/>
                </w:rPr>
                <w:t>Facility Support</w:t>
              </w:r>
            </w:hyperlink>
          </w:p>
        </w:tc>
        <w:tc>
          <w:tcPr>
            <w:tcW w:w="1170" w:type="dxa"/>
            <w:vMerge w:val="restart"/>
            <w:tcBorders>
              <w:top w:val="single" w:sz="4" w:space="0" w:color="auto"/>
            </w:tcBorders>
            <w:shd w:val="clear" w:color="auto" w:fill="C2D69B" w:themeFill="accent3" w:themeFillTint="99"/>
          </w:tcPr>
          <w:p w:rsidR="002434C8" w:rsidRPr="00517D48" w:rsidRDefault="006256D1" w:rsidP="00176EDD">
            <w:pPr>
              <w:ind w:left="78" w:hanging="6"/>
              <w:rPr>
                <w:b/>
                <w:sz w:val="18"/>
                <w:szCs w:val="18"/>
              </w:rPr>
            </w:pPr>
            <w:hyperlink r:id="rId11" w:history="1">
              <w:r w:rsidR="002434C8">
                <w:rPr>
                  <w:rStyle w:val="Hyperlink"/>
                  <w:b/>
                  <w:sz w:val="18"/>
                  <w:szCs w:val="18"/>
                </w:rPr>
                <w:t xml:space="preserve">Program </w:t>
              </w:r>
              <w:r w:rsidR="002434C8" w:rsidRPr="00980D9A">
                <w:rPr>
                  <w:rStyle w:val="Hyperlink"/>
                  <w:b/>
                  <w:sz w:val="18"/>
                  <w:szCs w:val="18"/>
                </w:rPr>
                <w:t>Operations</w:t>
              </w:r>
            </w:hyperlink>
          </w:p>
        </w:tc>
        <w:tc>
          <w:tcPr>
            <w:tcW w:w="1080" w:type="dxa"/>
            <w:vMerge w:val="restart"/>
            <w:tcBorders>
              <w:top w:val="single" w:sz="4" w:space="0" w:color="auto"/>
            </w:tcBorders>
            <w:shd w:val="clear" w:color="auto" w:fill="C2D69B" w:themeFill="accent3" w:themeFillTint="99"/>
          </w:tcPr>
          <w:p w:rsidR="002434C8" w:rsidRPr="00517D48" w:rsidRDefault="006256D1" w:rsidP="00176EDD">
            <w:pPr>
              <w:ind w:left="78" w:hanging="6"/>
              <w:rPr>
                <w:b/>
                <w:sz w:val="18"/>
                <w:szCs w:val="18"/>
              </w:rPr>
            </w:pPr>
            <w:hyperlink r:id="rId12" w:history="1">
              <w:r w:rsidR="002434C8" w:rsidRPr="00980D9A">
                <w:rPr>
                  <w:rStyle w:val="Hyperlink"/>
                  <w:b/>
                  <w:sz w:val="18"/>
                  <w:szCs w:val="18"/>
                </w:rPr>
                <w:t>Data Collection</w:t>
              </w:r>
            </w:hyperlink>
          </w:p>
        </w:tc>
        <w:tc>
          <w:tcPr>
            <w:tcW w:w="1530" w:type="dxa"/>
            <w:vMerge w:val="restart"/>
            <w:tcBorders>
              <w:top w:val="single" w:sz="4" w:space="0" w:color="auto"/>
            </w:tcBorders>
            <w:shd w:val="clear" w:color="auto" w:fill="C2D69B" w:themeFill="accent3" w:themeFillTint="99"/>
          </w:tcPr>
          <w:p w:rsidR="002434C8" w:rsidRPr="00517D48" w:rsidRDefault="006256D1" w:rsidP="00176EDD">
            <w:pPr>
              <w:ind w:left="78" w:hanging="6"/>
              <w:rPr>
                <w:b/>
                <w:sz w:val="18"/>
                <w:szCs w:val="18"/>
              </w:rPr>
            </w:pPr>
            <w:hyperlink r:id="rId13" w:history="1">
              <w:r w:rsidR="002434C8" w:rsidRPr="00980D9A">
                <w:rPr>
                  <w:rStyle w:val="Hyperlink"/>
                  <w:b/>
                  <w:sz w:val="18"/>
                  <w:szCs w:val="18"/>
                </w:rPr>
                <w:t>Administration</w:t>
              </w:r>
            </w:hyperlink>
          </w:p>
        </w:tc>
        <w:tc>
          <w:tcPr>
            <w:tcW w:w="1350" w:type="dxa"/>
            <w:vMerge w:val="restart"/>
            <w:tcBorders>
              <w:top w:val="single" w:sz="4" w:space="0" w:color="auto"/>
              <w:right w:val="single" w:sz="4" w:space="0" w:color="auto"/>
            </w:tcBorders>
            <w:shd w:val="clear" w:color="auto" w:fill="C2D69B" w:themeFill="accent3" w:themeFillTint="99"/>
          </w:tcPr>
          <w:p w:rsidR="002434C8" w:rsidRPr="00517D48" w:rsidRDefault="006256D1" w:rsidP="00176EDD">
            <w:pPr>
              <w:ind w:left="314" w:hanging="242"/>
              <w:rPr>
                <w:b/>
                <w:sz w:val="18"/>
                <w:szCs w:val="18"/>
              </w:rPr>
            </w:pPr>
            <w:hyperlink r:id="rId14" w:history="1">
              <w:r w:rsidR="002434C8" w:rsidRPr="00980D9A">
                <w:rPr>
                  <w:rStyle w:val="Hyperlink"/>
                  <w:b/>
                  <w:sz w:val="18"/>
                  <w:szCs w:val="18"/>
                </w:rPr>
                <w:t>Performance Funding</w:t>
              </w:r>
            </w:hyperlink>
          </w:p>
        </w:tc>
      </w:tr>
      <w:tr w:rsidR="002434C8" w:rsidTr="00176EDD">
        <w:trPr>
          <w:trHeight w:val="478"/>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b/>
                <w:sz w:val="18"/>
                <w:szCs w:val="18"/>
              </w:rPr>
              <w:t>Eligible Expenses:</w:t>
            </w:r>
          </w:p>
        </w:tc>
        <w:tc>
          <w:tcPr>
            <w:tcW w:w="1440" w:type="dxa"/>
            <w:vMerge/>
            <w:tcBorders>
              <w:top w:val="single" w:sz="4" w:space="0" w:color="auto"/>
            </w:tcBorders>
            <w:vAlign w:val="center"/>
          </w:tcPr>
          <w:p w:rsidR="002434C8" w:rsidRDefault="002434C8" w:rsidP="00176EDD">
            <w:pPr>
              <w:jc w:val="center"/>
              <w:rPr>
                <w:sz w:val="18"/>
                <w:szCs w:val="18"/>
              </w:rPr>
            </w:pPr>
          </w:p>
        </w:tc>
        <w:tc>
          <w:tcPr>
            <w:tcW w:w="1080" w:type="dxa"/>
            <w:vMerge/>
            <w:tcBorders>
              <w:top w:val="single" w:sz="4" w:space="0" w:color="auto"/>
            </w:tcBorders>
            <w:vAlign w:val="center"/>
          </w:tcPr>
          <w:p w:rsidR="002434C8" w:rsidRDefault="002434C8" w:rsidP="00176EDD">
            <w:pPr>
              <w:jc w:val="center"/>
              <w:rPr>
                <w:sz w:val="18"/>
                <w:szCs w:val="18"/>
              </w:rPr>
            </w:pPr>
          </w:p>
        </w:tc>
        <w:tc>
          <w:tcPr>
            <w:tcW w:w="1170" w:type="dxa"/>
            <w:vMerge/>
            <w:tcBorders>
              <w:top w:val="single" w:sz="4" w:space="0" w:color="auto"/>
            </w:tcBorders>
            <w:vAlign w:val="center"/>
          </w:tcPr>
          <w:p w:rsidR="002434C8" w:rsidRDefault="002434C8" w:rsidP="00176EDD">
            <w:pPr>
              <w:jc w:val="center"/>
              <w:rPr>
                <w:sz w:val="18"/>
                <w:szCs w:val="18"/>
              </w:rPr>
            </w:pPr>
          </w:p>
        </w:tc>
        <w:tc>
          <w:tcPr>
            <w:tcW w:w="1080" w:type="dxa"/>
            <w:vMerge/>
            <w:tcBorders>
              <w:top w:val="single" w:sz="4" w:space="0" w:color="auto"/>
            </w:tcBorders>
            <w:vAlign w:val="center"/>
          </w:tcPr>
          <w:p w:rsidR="002434C8" w:rsidRDefault="002434C8" w:rsidP="00176EDD">
            <w:pPr>
              <w:jc w:val="center"/>
              <w:rPr>
                <w:sz w:val="18"/>
                <w:szCs w:val="18"/>
              </w:rPr>
            </w:pPr>
          </w:p>
        </w:tc>
        <w:tc>
          <w:tcPr>
            <w:tcW w:w="1530" w:type="dxa"/>
            <w:vMerge/>
            <w:tcBorders>
              <w:top w:val="single" w:sz="4" w:space="0" w:color="auto"/>
            </w:tcBorders>
            <w:vAlign w:val="center"/>
          </w:tcPr>
          <w:p w:rsidR="002434C8" w:rsidRDefault="002434C8" w:rsidP="00176EDD">
            <w:pPr>
              <w:jc w:val="center"/>
              <w:rPr>
                <w:sz w:val="18"/>
                <w:szCs w:val="18"/>
              </w:rPr>
            </w:pPr>
          </w:p>
        </w:tc>
        <w:tc>
          <w:tcPr>
            <w:tcW w:w="1350" w:type="dxa"/>
            <w:vMerge/>
            <w:tcBorders>
              <w:top w:val="single" w:sz="4" w:space="0" w:color="auto"/>
              <w:right w:val="single" w:sz="4" w:space="0" w:color="auto"/>
            </w:tcBorders>
            <w:shd w:val="clear" w:color="auto" w:fill="C2D69B" w:themeFill="accent3" w:themeFillTint="99"/>
          </w:tcPr>
          <w:p w:rsidR="002434C8" w:rsidRDefault="002434C8" w:rsidP="00176EDD">
            <w:pPr>
              <w:jc w:val="center"/>
              <w:rPr>
                <w:sz w:val="18"/>
                <w:szCs w:val="18"/>
              </w:rPr>
            </w:pP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Household rent (including  lot for RV or manufactured housing) , utilities, deposits, arrears</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Housing application fees</w:t>
            </w:r>
          </w:p>
        </w:tc>
        <w:tc>
          <w:tcPr>
            <w:tcW w:w="1440" w:type="dxa"/>
            <w:tcBorders>
              <w:top w:val="single" w:sz="4" w:space="0" w:color="auto"/>
            </w:tcBorders>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vAlign w:val="center"/>
          </w:tcPr>
          <w:p w:rsidR="002434C8" w:rsidRDefault="002434C8" w:rsidP="00176EDD">
            <w:pPr>
              <w:jc w:val="center"/>
              <w:rPr>
                <w:sz w:val="18"/>
                <w:szCs w:val="18"/>
              </w:rPr>
            </w:pPr>
          </w:p>
        </w:tc>
        <w:tc>
          <w:tcPr>
            <w:tcW w:w="1080" w:type="dxa"/>
            <w:tcBorders>
              <w:top w:val="single" w:sz="4" w:space="0" w:color="auto"/>
            </w:tcBorders>
            <w:vAlign w:val="center"/>
          </w:tcPr>
          <w:p w:rsidR="002434C8" w:rsidRDefault="002434C8" w:rsidP="00176EDD">
            <w:pPr>
              <w:jc w:val="center"/>
              <w:rPr>
                <w:sz w:val="18"/>
                <w:szCs w:val="18"/>
              </w:rPr>
            </w:pPr>
          </w:p>
        </w:tc>
        <w:tc>
          <w:tcPr>
            <w:tcW w:w="1530" w:type="dxa"/>
            <w:tcBorders>
              <w:top w:val="single" w:sz="4" w:space="0" w:color="auto"/>
            </w:tcBorders>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Parking spaces connected to unit</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Background and credit checks,  urinalyses costs</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Moving costs</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Hotel/Motel expenses up to 30 days</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Lease/rent on building</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Utilities</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Maintenance</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rFonts w:eastAsia="Times New Roman"/>
                <w:sz w:val="18"/>
                <w:szCs w:val="18"/>
              </w:rPr>
            </w:pPr>
            <w:r>
              <w:rPr>
                <w:sz w:val="18"/>
                <w:szCs w:val="18"/>
              </w:rPr>
              <w:t>Security and Janitorial services</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Essential facility equipment</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Client transportation costs</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rFonts w:eastAsia="Times New Roman"/>
                <w:sz w:val="18"/>
                <w:szCs w:val="18"/>
              </w:rPr>
            </w:pPr>
            <w:r>
              <w:rPr>
                <w:sz w:val="18"/>
                <w:szCs w:val="18"/>
              </w:rPr>
              <w:t>Hotel/Motel expenses less than 90 days</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Site management costs</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Facility-specific insurance</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Marketing</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Housing search and placement</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Housing stability</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Outreach</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Inspections</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Data collection and entry</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Salaries/benefits</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53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Office space, utilities, supplies, equipment, staff travel</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General liability insurance</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Point-in-time counts</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Housing inventory</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530" w:type="dxa"/>
            <w:tcBorders>
              <w:top w:val="single" w:sz="4" w:space="0" w:color="auto"/>
            </w:tcBorders>
            <w:shd w:val="clear" w:color="auto" w:fill="auto"/>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Local homeless plans</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WSQA</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53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 xml:space="preserve">Coordinated Entry planning/implementation </w:t>
            </w:r>
          </w:p>
        </w:tc>
        <w:tc>
          <w:tcPr>
            <w:tcW w:w="144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c>
          <w:tcPr>
            <w:tcW w:w="1530" w:type="dxa"/>
            <w:tcBorders>
              <w:top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tcBorders>
            <w:shd w:val="clear" w:color="auto" w:fill="auto"/>
          </w:tcPr>
          <w:p w:rsidR="002434C8" w:rsidRDefault="002434C8" w:rsidP="00176EDD">
            <w:pPr>
              <w:ind w:left="0"/>
              <w:rPr>
                <w:sz w:val="18"/>
                <w:szCs w:val="18"/>
              </w:rPr>
            </w:pPr>
            <w:r>
              <w:rPr>
                <w:sz w:val="18"/>
                <w:szCs w:val="18"/>
              </w:rPr>
              <w:t>General organization administrative costs not attributed to a specific program</w:t>
            </w:r>
          </w:p>
        </w:tc>
        <w:tc>
          <w:tcPr>
            <w:tcW w:w="144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170" w:type="dxa"/>
            <w:tcBorders>
              <w:top w:val="single" w:sz="4" w:space="0" w:color="auto"/>
            </w:tcBorders>
            <w:shd w:val="clear" w:color="auto" w:fill="auto"/>
            <w:vAlign w:val="center"/>
          </w:tcPr>
          <w:p w:rsidR="002434C8" w:rsidRDefault="002434C8" w:rsidP="00176EDD">
            <w:pPr>
              <w:jc w:val="center"/>
              <w:rPr>
                <w:sz w:val="18"/>
                <w:szCs w:val="18"/>
              </w:rPr>
            </w:pPr>
          </w:p>
        </w:tc>
        <w:tc>
          <w:tcPr>
            <w:tcW w:w="1080" w:type="dxa"/>
            <w:tcBorders>
              <w:top w:val="single" w:sz="4" w:space="0" w:color="auto"/>
            </w:tcBorders>
            <w:shd w:val="clear" w:color="auto" w:fill="auto"/>
            <w:vAlign w:val="center"/>
          </w:tcPr>
          <w:p w:rsidR="002434C8" w:rsidRDefault="002434C8" w:rsidP="00176EDD">
            <w:pPr>
              <w:jc w:val="center"/>
              <w:rPr>
                <w:sz w:val="18"/>
                <w:szCs w:val="18"/>
              </w:rPr>
            </w:pPr>
          </w:p>
        </w:tc>
        <w:tc>
          <w:tcPr>
            <w:tcW w:w="1530" w:type="dxa"/>
            <w:tcBorders>
              <w:top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c>
          <w:tcPr>
            <w:tcW w:w="1350" w:type="dxa"/>
            <w:tcBorders>
              <w:top w:val="single" w:sz="4" w:space="0" w:color="auto"/>
              <w:right w:val="single" w:sz="4" w:space="0" w:color="auto"/>
            </w:tcBorders>
            <w:shd w:val="clear" w:color="auto" w:fill="auto"/>
            <w:vAlign w:val="center"/>
          </w:tcPr>
          <w:p w:rsidR="002434C8" w:rsidRDefault="002434C8" w:rsidP="00176EDD">
            <w:pPr>
              <w:jc w:val="center"/>
              <w:rPr>
                <w:sz w:val="18"/>
                <w:szCs w:val="18"/>
              </w:rPr>
            </w:pPr>
            <w:r>
              <w:rPr>
                <w:sz w:val="18"/>
                <w:szCs w:val="18"/>
              </w:rPr>
              <w:sym w:font="Wingdings 2" w:char="F050"/>
            </w:r>
          </w:p>
        </w:tc>
      </w:tr>
      <w:tr w:rsidR="002434C8" w:rsidTr="00176EDD">
        <w:trPr>
          <w:trHeight w:val="243"/>
        </w:trPr>
        <w:tc>
          <w:tcPr>
            <w:tcW w:w="2898" w:type="dxa"/>
            <w:tcBorders>
              <w:top w:val="single" w:sz="4" w:space="0" w:color="auto"/>
              <w:left w:val="single" w:sz="4" w:space="0" w:color="auto"/>
              <w:bottom w:val="single" w:sz="4" w:space="0" w:color="auto"/>
            </w:tcBorders>
            <w:shd w:val="clear" w:color="auto" w:fill="D9D9D9" w:themeFill="background1" w:themeFillShade="D9"/>
          </w:tcPr>
          <w:p w:rsidR="002434C8" w:rsidRDefault="002434C8" w:rsidP="00176EDD">
            <w:pPr>
              <w:ind w:left="0"/>
              <w:rPr>
                <w:sz w:val="18"/>
                <w:szCs w:val="18"/>
              </w:rPr>
            </w:pPr>
            <w:r>
              <w:rPr>
                <w:sz w:val="18"/>
                <w:szCs w:val="18"/>
              </w:rPr>
              <w:t>Permanent Supportive Housing</w:t>
            </w:r>
          </w:p>
        </w:tc>
        <w:tc>
          <w:tcPr>
            <w:tcW w:w="1440" w:type="dxa"/>
            <w:tcBorders>
              <w:top w:val="single" w:sz="4" w:space="0" w:color="auto"/>
              <w:bottom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bottom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170" w:type="dxa"/>
            <w:tcBorders>
              <w:top w:val="single" w:sz="4" w:space="0" w:color="auto"/>
              <w:bottom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080" w:type="dxa"/>
            <w:tcBorders>
              <w:top w:val="single" w:sz="4" w:space="0" w:color="auto"/>
              <w:bottom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530" w:type="dxa"/>
            <w:tcBorders>
              <w:top w:val="single" w:sz="4" w:space="0" w:color="auto"/>
              <w:bottom w:val="single" w:sz="4" w:space="0" w:color="auto"/>
            </w:tcBorders>
            <w:shd w:val="clear" w:color="auto" w:fill="D9D9D9" w:themeFill="background1" w:themeFillShade="D9"/>
            <w:vAlign w:val="center"/>
          </w:tcPr>
          <w:p w:rsidR="002434C8" w:rsidRDefault="002434C8" w:rsidP="00176EDD">
            <w:pPr>
              <w:jc w:val="center"/>
              <w:rPr>
                <w:sz w:val="18"/>
                <w:szCs w:val="18"/>
              </w:rPr>
            </w:pPr>
          </w:p>
        </w:tc>
        <w:tc>
          <w:tcPr>
            <w:tcW w:w="1350" w:type="dxa"/>
            <w:tcBorders>
              <w:top w:val="single" w:sz="4" w:space="0" w:color="auto"/>
              <w:bottom w:val="single" w:sz="4" w:space="0" w:color="auto"/>
              <w:right w:val="single" w:sz="4" w:space="0" w:color="auto"/>
            </w:tcBorders>
            <w:shd w:val="clear" w:color="auto" w:fill="D9D9D9" w:themeFill="background1" w:themeFillShade="D9"/>
            <w:vAlign w:val="center"/>
          </w:tcPr>
          <w:p w:rsidR="002434C8" w:rsidRDefault="002434C8" w:rsidP="00176EDD">
            <w:pPr>
              <w:jc w:val="center"/>
              <w:rPr>
                <w:sz w:val="18"/>
                <w:szCs w:val="18"/>
              </w:rPr>
            </w:pPr>
            <w:r>
              <w:rPr>
                <w:sz w:val="18"/>
                <w:szCs w:val="18"/>
              </w:rPr>
              <w:sym w:font="Wingdings 2" w:char="F050"/>
            </w:r>
          </w:p>
        </w:tc>
      </w:tr>
    </w:tbl>
    <w:p w:rsidR="005B4998" w:rsidRDefault="005B4998" w:rsidP="008623EB">
      <w:pPr>
        <w:rPr>
          <w:b/>
          <w:bCs/>
          <w:sz w:val="26"/>
          <w:szCs w:val="26"/>
        </w:rPr>
      </w:pPr>
    </w:p>
    <w:p w:rsidR="00176EDD" w:rsidRDefault="00176EDD">
      <w:r>
        <w:br w:type="page"/>
      </w:r>
    </w:p>
    <w:p w:rsidR="00E418D9" w:rsidRDefault="00E418D9" w:rsidP="00483DD4">
      <w:pPr>
        <w:contextualSpacing/>
      </w:pPr>
    </w:p>
    <w:p w:rsidR="002434C8" w:rsidRDefault="002434C8" w:rsidP="002434C8">
      <w:pPr>
        <w:shd w:val="clear" w:color="auto" w:fill="C6D9F1" w:themeFill="text2" w:themeFillTint="33"/>
        <w:rPr>
          <w:b/>
          <w:bCs/>
        </w:rPr>
      </w:pPr>
      <w:r>
        <w:rPr>
          <w:b/>
          <w:bCs/>
        </w:rPr>
        <w:t xml:space="preserve">Rent Assistance  </w:t>
      </w:r>
    </w:p>
    <w:p w:rsidR="002434C8" w:rsidRDefault="002434C8" w:rsidP="002434C8"/>
    <w:p w:rsidR="002434C8" w:rsidRDefault="002434C8" w:rsidP="002434C8">
      <w:r>
        <w:t xml:space="preserve">Rent assistance must be consistently administered according to your program policies and </w:t>
      </w:r>
      <w:r w:rsidRPr="00BB7D4B">
        <w:t>rent assistance calculations must be documented in each client file.</w:t>
      </w:r>
    </w:p>
    <w:p w:rsidR="002434C8" w:rsidRDefault="002434C8" w:rsidP="002434C8">
      <w:pPr>
        <w:tabs>
          <w:tab w:val="left" w:pos="3872"/>
        </w:tabs>
      </w:pPr>
    </w:p>
    <w:p w:rsidR="002434C8" w:rsidRPr="008C3C6E" w:rsidRDefault="002434C8" w:rsidP="002434C8">
      <w:pPr>
        <w:pStyle w:val="ListParagraph"/>
        <w:ind w:left="0"/>
        <w:contextualSpacing/>
      </w:pPr>
      <w:r>
        <w:t>S</w:t>
      </w:r>
      <w:r w:rsidRPr="008C3C6E">
        <w:t xml:space="preserve">ee </w:t>
      </w:r>
      <w:r w:rsidRPr="00162B76">
        <w:t>Section 4</w:t>
      </w:r>
      <w:r w:rsidRPr="008C3C6E">
        <w:t xml:space="preserve"> of the guidelines </w:t>
      </w:r>
      <w:r>
        <w:t>for eligibility determination.</w:t>
      </w:r>
    </w:p>
    <w:p w:rsidR="002434C8" w:rsidRDefault="002434C8" w:rsidP="00483DD4">
      <w:pPr>
        <w:pStyle w:val="QuickA"/>
        <w:numPr>
          <w:ilvl w:val="0"/>
          <w:numId w:val="0"/>
        </w:numPr>
        <w:tabs>
          <w:tab w:val="left" w:pos="-1440"/>
          <w:tab w:val="left" w:pos="720"/>
          <w:tab w:val="left" w:pos="1080"/>
        </w:tabs>
        <w:ind w:right="-360"/>
      </w:pPr>
    </w:p>
    <w:p w:rsidR="002434C8" w:rsidRDefault="002434C8" w:rsidP="002434C8">
      <w:pPr>
        <w:contextualSpacing/>
        <w:rPr>
          <w:b/>
        </w:rPr>
      </w:pPr>
      <w:r>
        <w:rPr>
          <w:b/>
        </w:rPr>
        <w:t>Housing Stability Plan</w:t>
      </w:r>
    </w:p>
    <w:p w:rsidR="002434C8" w:rsidRDefault="002434C8" w:rsidP="002434C8">
      <w:pPr>
        <w:pStyle w:val="QuickA"/>
        <w:numPr>
          <w:ilvl w:val="0"/>
          <w:numId w:val="0"/>
        </w:numPr>
        <w:tabs>
          <w:tab w:val="left" w:pos="-1440"/>
          <w:tab w:val="left" w:pos="720"/>
          <w:tab w:val="left" w:pos="1080"/>
        </w:tabs>
        <w:ind w:right="-360"/>
      </w:pPr>
      <w:r w:rsidRPr="00162B76">
        <w:t>Households receiving rent assistance for greater than 90 days and up to 24 months must have a Housing Stability Plan</w:t>
      </w:r>
      <w:r>
        <w:t xml:space="preserve"> and it must be kept in the client file</w:t>
      </w:r>
      <w:r w:rsidRPr="00162B76">
        <w:t xml:space="preserve">. </w:t>
      </w:r>
    </w:p>
    <w:p w:rsidR="002434C8" w:rsidRDefault="002434C8" w:rsidP="002434C8">
      <w:pPr>
        <w:pStyle w:val="QuickA"/>
        <w:numPr>
          <w:ilvl w:val="0"/>
          <w:numId w:val="0"/>
        </w:numPr>
        <w:tabs>
          <w:tab w:val="left" w:pos="-1440"/>
          <w:tab w:val="left" w:pos="720"/>
          <w:tab w:val="left" w:pos="1080"/>
        </w:tabs>
        <w:ind w:right="-360"/>
      </w:pPr>
    </w:p>
    <w:p w:rsidR="002434C8" w:rsidRDefault="002434C8" w:rsidP="002434C8">
      <w:pPr>
        <w:pStyle w:val="QuickA"/>
        <w:numPr>
          <w:ilvl w:val="0"/>
          <w:numId w:val="0"/>
        </w:numPr>
        <w:tabs>
          <w:tab w:val="left" w:pos="-1440"/>
          <w:tab w:val="left" w:pos="720"/>
          <w:tab w:val="left" w:pos="1080"/>
        </w:tabs>
        <w:ind w:right="-360"/>
      </w:pPr>
      <w:r w:rsidRPr="00093C81">
        <w:t>The household, with the assistance of the case manager, must establish and regularly update a housing stability plan that aids the household in transitioning to stable housing and self-sufficiency.</w:t>
      </w:r>
    </w:p>
    <w:p w:rsidR="002434C8" w:rsidRDefault="002434C8" w:rsidP="00483DD4">
      <w:pPr>
        <w:pStyle w:val="QuickA"/>
        <w:numPr>
          <w:ilvl w:val="0"/>
          <w:numId w:val="0"/>
        </w:numPr>
        <w:tabs>
          <w:tab w:val="left" w:pos="-1440"/>
          <w:tab w:val="left" w:pos="720"/>
          <w:tab w:val="left" w:pos="1080"/>
        </w:tabs>
        <w:ind w:right="-360"/>
      </w:pPr>
    </w:p>
    <w:p w:rsidR="00483DD4" w:rsidRPr="00AE5904" w:rsidRDefault="00483DD4" w:rsidP="00483DD4">
      <w:pPr>
        <w:pStyle w:val="QuickA"/>
        <w:numPr>
          <w:ilvl w:val="0"/>
          <w:numId w:val="0"/>
        </w:numPr>
        <w:tabs>
          <w:tab w:val="left" w:pos="-1440"/>
          <w:tab w:val="left" w:pos="720"/>
          <w:tab w:val="left" w:pos="1080"/>
        </w:tabs>
        <w:ind w:right="-360"/>
      </w:pPr>
      <w:r w:rsidRPr="00093C81">
        <w:t>If the household has an existing plan developed through a relationship with another service provider, the existing plan may be used, but it must be updated upon enrollment in the program</w:t>
      </w:r>
      <w:r w:rsidR="00162B76">
        <w:t>.</w:t>
      </w:r>
      <w:r w:rsidRPr="006F2775">
        <w:rPr>
          <w:strike/>
        </w:rPr>
        <w:t xml:space="preserve"> </w:t>
      </w:r>
    </w:p>
    <w:p w:rsidR="00483DD4" w:rsidRDefault="00483DD4" w:rsidP="00483DD4"/>
    <w:p w:rsidR="00483DD4" w:rsidRPr="00162B76" w:rsidRDefault="00483DD4" w:rsidP="00483DD4">
      <w:pPr>
        <w:widowControl w:val="0"/>
      </w:pPr>
      <w:r w:rsidRPr="00162B76">
        <w:t>The housing stability plan must include:</w:t>
      </w:r>
    </w:p>
    <w:p w:rsidR="00483DD4" w:rsidRPr="00162B76" w:rsidRDefault="00483DD4" w:rsidP="00483DD4">
      <w:pPr>
        <w:ind w:left="720"/>
      </w:pPr>
    </w:p>
    <w:p w:rsidR="00483DD4" w:rsidRDefault="00483DD4" w:rsidP="00760B91">
      <w:pPr>
        <w:widowControl w:val="0"/>
        <w:numPr>
          <w:ilvl w:val="0"/>
          <w:numId w:val="29"/>
        </w:numPr>
        <w:tabs>
          <w:tab w:val="left" w:pos="1080"/>
        </w:tabs>
      </w:pPr>
      <w:r w:rsidRPr="00162B76">
        <w:t>A household needs assessment</w:t>
      </w:r>
    </w:p>
    <w:p w:rsidR="00535941" w:rsidRPr="00331487" w:rsidRDefault="00535941" w:rsidP="00535941">
      <w:pPr>
        <w:widowControl w:val="0"/>
        <w:tabs>
          <w:tab w:val="left" w:pos="1080"/>
        </w:tabs>
        <w:ind w:left="720"/>
        <w:rPr>
          <w:sz w:val="16"/>
          <w:szCs w:val="16"/>
        </w:rPr>
      </w:pPr>
    </w:p>
    <w:p w:rsidR="00483DD4" w:rsidRPr="00162B76" w:rsidRDefault="00483DD4" w:rsidP="00760B91">
      <w:pPr>
        <w:widowControl w:val="0"/>
        <w:numPr>
          <w:ilvl w:val="0"/>
          <w:numId w:val="29"/>
        </w:numPr>
        <w:tabs>
          <w:tab w:val="left" w:pos="1080"/>
        </w:tabs>
      </w:pPr>
      <w:r w:rsidRPr="00162B76">
        <w:t>Short- and long-term goals, including specific housing and self-sufficiency goals</w:t>
      </w:r>
    </w:p>
    <w:p w:rsidR="00535941" w:rsidRPr="00331487" w:rsidRDefault="00535941" w:rsidP="00535941">
      <w:pPr>
        <w:widowControl w:val="0"/>
        <w:tabs>
          <w:tab w:val="left" w:pos="1080"/>
        </w:tabs>
        <w:ind w:left="720"/>
        <w:rPr>
          <w:sz w:val="16"/>
          <w:szCs w:val="16"/>
        </w:rPr>
      </w:pPr>
    </w:p>
    <w:p w:rsidR="00483DD4" w:rsidRPr="00162B76" w:rsidRDefault="00483DD4" w:rsidP="00760B91">
      <w:pPr>
        <w:widowControl w:val="0"/>
        <w:numPr>
          <w:ilvl w:val="0"/>
          <w:numId w:val="29"/>
        </w:numPr>
        <w:tabs>
          <w:tab w:val="left" w:pos="1080"/>
        </w:tabs>
      </w:pPr>
      <w:r w:rsidRPr="00162B76">
        <w:t>Action steps with projected completion dates when possible.</w:t>
      </w:r>
    </w:p>
    <w:p w:rsidR="00483DD4" w:rsidRPr="00483DD4" w:rsidRDefault="00483DD4" w:rsidP="00483DD4">
      <w:pPr>
        <w:contextualSpacing/>
        <w:rPr>
          <w:b/>
        </w:rPr>
      </w:pPr>
    </w:p>
    <w:p w:rsidR="00330E17" w:rsidRDefault="007E7A60" w:rsidP="0029260C">
      <w:pPr>
        <w:shd w:val="clear" w:color="auto" w:fill="FFFFFF" w:themeFill="background1"/>
        <w:tabs>
          <w:tab w:val="left" w:pos="720"/>
        </w:tabs>
        <w:rPr>
          <w:b/>
        </w:rPr>
      </w:pPr>
      <w:r>
        <w:rPr>
          <w:b/>
        </w:rPr>
        <w:t>Allowable Expenses</w:t>
      </w:r>
    </w:p>
    <w:p w:rsidR="00330E17" w:rsidRDefault="00330E17" w:rsidP="00330E17">
      <w:pPr>
        <w:tabs>
          <w:tab w:val="left" w:pos="720"/>
        </w:tabs>
      </w:pPr>
    </w:p>
    <w:p w:rsidR="006B1561" w:rsidRDefault="007E7A60" w:rsidP="006B1561">
      <w:pPr>
        <w:numPr>
          <w:ilvl w:val="0"/>
          <w:numId w:val="20"/>
        </w:numPr>
        <w:tabs>
          <w:tab w:val="left" w:pos="720"/>
        </w:tabs>
      </w:pPr>
      <w:r w:rsidRPr="004A557C">
        <w:t xml:space="preserve">Monthly rent, rent and utilities, and any combination of first and last month’s rent for up to 24 months. </w:t>
      </w:r>
      <w:r w:rsidR="00CC5BD6">
        <w:t xml:space="preserve"> Rent may only be paid one month at a time, although rental arrears</w:t>
      </w:r>
      <w:r w:rsidR="009C71AC">
        <w:t>,</w:t>
      </w:r>
      <w:r w:rsidR="00F96516">
        <w:t xml:space="preserve"> </w:t>
      </w:r>
      <w:r w:rsidR="00CC5BD6">
        <w:t>pro-rated rent</w:t>
      </w:r>
      <w:r w:rsidR="009C71AC">
        <w:t>, and last month’s</w:t>
      </w:r>
      <w:r w:rsidR="00CC5BD6">
        <w:t xml:space="preserve"> may be included in the first month’s payment</w:t>
      </w:r>
      <w:r w:rsidR="00447D7F">
        <w:t>.</w:t>
      </w:r>
    </w:p>
    <w:p w:rsidR="00447D7F" w:rsidRPr="001A31DB" w:rsidRDefault="00447D7F" w:rsidP="00447D7F">
      <w:pPr>
        <w:tabs>
          <w:tab w:val="left" w:pos="720"/>
        </w:tabs>
        <w:ind w:left="720"/>
        <w:rPr>
          <w:sz w:val="16"/>
          <w:szCs w:val="16"/>
        </w:rPr>
      </w:pPr>
    </w:p>
    <w:p w:rsidR="007E7A60" w:rsidRDefault="007E7A60" w:rsidP="00760B91">
      <w:pPr>
        <w:numPr>
          <w:ilvl w:val="0"/>
          <w:numId w:val="20"/>
        </w:numPr>
        <w:tabs>
          <w:tab w:val="left" w:pos="720"/>
        </w:tabs>
      </w:pPr>
      <w:r w:rsidRPr="004A557C">
        <w:t>Utility-only assistance can be provided under very limited circumstances</w:t>
      </w:r>
      <w:r>
        <w:t xml:space="preserve"> and must be documented using the CHG Utility Assistance to Prevent Homelessness form. </w:t>
      </w:r>
      <w:r w:rsidR="007B2DE5">
        <w:t>Lead/Sub Grantee</w:t>
      </w:r>
      <w:r w:rsidRPr="004A557C">
        <w:t xml:space="preserve"> must confirm that no other </w:t>
      </w:r>
      <w:hyperlink r:id="rId15" w:history="1">
        <w:r w:rsidRPr="004A557C">
          <w:rPr>
            <w:rStyle w:val="Hyperlink"/>
          </w:rPr>
          <w:t>utility assistance</w:t>
        </w:r>
      </w:hyperlink>
      <w:r w:rsidRPr="004A557C">
        <w:t xml:space="preserve">, such as </w:t>
      </w:r>
      <w:hyperlink r:id="rId16" w:history="1">
        <w:r w:rsidRPr="004A557C">
          <w:rPr>
            <w:rStyle w:val="Hyperlink"/>
          </w:rPr>
          <w:t>LIHEAP</w:t>
        </w:r>
      </w:hyperlink>
      <w:r w:rsidRPr="004A557C">
        <w:t xml:space="preserve">, is available to prevent the shut-off.  For example, if the household is going to have to abandon the housing due to a lack of utilities and can avoid moving to a shelter by having utilities paid, then CHG funds may be used for this purpose. Under another scenario, an applicant’s lease may include a provision requiring utilities be maintained for the unit by the tenant. As a result, a utility shut-off could constitute a lease violation, thus placing the household at risk for eviction. In both cases, it is the </w:t>
      </w:r>
      <w:r w:rsidR="007B2DE5">
        <w:t>Lead/Sub Grantee’s</w:t>
      </w:r>
      <w:r w:rsidRPr="004A557C">
        <w:t xml:space="preserve"> responsibility to confirm and document in the case file that the utility company will in fact shut-off the utility if the amount due is not paid. </w:t>
      </w:r>
    </w:p>
    <w:p w:rsidR="007E7A60" w:rsidRPr="00331487" w:rsidRDefault="007E7A60" w:rsidP="007E7A60">
      <w:pPr>
        <w:tabs>
          <w:tab w:val="left" w:pos="720"/>
        </w:tabs>
        <w:ind w:left="720"/>
        <w:rPr>
          <w:sz w:val="16"/>
          <w:szCs w:val="16"/>
        </w:rPr>
      </w:pPr>
    </w:p>
    <w:p w:rsidR="00173AA9" w:rsidRPr="00750767" w:rsidRDefault="00173AA9" w:rsidP="00173AA9">
      <w:pPr>
        <w:pStyle w:val="BodyTextIndent2"/>
        <w:numPr>
          <w:ilvl w:val="0"/>
          <w:numId w:val="20"/>
        </w:numPr>
      </w:pPr>
      <w:r w:rsidRPr="00750767">
        <w:t>Application fees,</w:t>
      </w:r>
      <w:r w:rsidR="005A21BC" w:rsidRPr="00750767">
        <w:t xml:space="preserve"> </w:t>
      </w:r>
      <w:r w:rsidRPr="00750767">
        <w:t>background and credit check fees for rental housing.</w:t>
      </w:r>
    </w:p>
    <w:p w:rsidR="00173AA9" w:rsidRPr="00E3601B" w:rsidRDefault="00173AA9" w:rsidP="005A21BC">
      <w:pPr>
        <w:pStyle w:val="ListParagraph"/>
        <w:tabs>
          <w:tab w:val="left" w:pos="1080"/>
          <w:tab w:val="left" w:pos="1440"/>
        </w:tabs>
        <w:rPr>
          <w:sz w:val="16"/>
          <w:szCs w:val="16"/>
          <w:highlight w:val="yellow"/>
        </w:rPr>
      </w:pPr>
    </w:p>
    <w:p w:rsidR="007E7A60" w:rsidRDefault="007E7A60" w:rsidP="00760B91">
      <w:pPr>
        <w:pStyle w:val="ListParagraph"/>
        <w:numPr>
          <w:ilvl w:val="0"/>
          <w:numId w:val="20"/>
        </w:numPr>
        <w:tabs>
          <w:tab w:val="left" w:pos="1080"/>
          <w:tab w:val="left" w:pos="1440"/>
        </w:tabs>
      </w:pPr>
      <w:r>
        <w:t>Lot rent for RV or manufactured home if structure passes necessary housing and lead-based paint inspections.</w:t>
      </w:r>
    </w:p>
    <w:p w:rsidR="00D807DF" w:rsidRPr="00E3601B" w:rsidRDefault="00D807DF" w:rsidP="00D807DF">
      <w:pPr>
        <w:tabs>
          <w:tab w:val="left" w:pos="1080"/>
          <w:tab w:val="left" w:pos="1440"/>
        </w:tabs>
        <w:rPr>
          <w:sz w:val="16"/>
          <w:szCs w:val="16"/>
        </w:rPr>
      </w:pPr>
    </w:p>
    <w:p w:rsidR="007E7A60" w:rsidRDefault="007E7A60" w:rsidP="00760B91">
      <w:pPr>
        <w:pStyle w:val="ListParagraph"/>
        <w:numPr>
          <w:ilvl w:val="0"/>
          <w:numId w:val="20"/>
        </w:numPr>
        <w:tabs>
          <w:tab w:val="left" w:pos="720"/>
        </w:tabs>
      </w:pPr>
      <w:r>
        <w:lastRenderedPageBreak/>
        <w:t>Costs of parking spaces when connected to a unit.</w:t>
      </w:r>
    </w:p>
    <w:p w:rsidR="007E7A60" w:rsidRPr="00331487" w:rsidRDefault="007E7A60" w:rsidP="007E7A60">
      <w:pPr>
        <w:pStyle w:val="ListParagraph"/>
        <w:tabs>
          <w:tab w:val="left" w:pos="720"/>
        </w:tabs>
        <w:rPr>
          <w:sz w:val="16"/>
          <w:szCs w:val="16"/>
        </w:rPr>
      </w:pPr>
    </w:p>
    <w:p w:rsidR="007E7A60" w:rsidRPr="00701A9C" w:rsidRDefault="007E7A60" w:rsidP="00760B91">
      <w:pPr>
        <w:pStyle w:val="ListParagraph"/>
        <w:numPr>
          <w:ilvl w:val="0"/>
          <w:numId w:val="20"/>
        </w:numPr>
        <w:tabs>
          <w:tab w:val="left" w:pos="720"/>
        </w:tabs>
        <w:rPr>
          <w:sz w:val="22"/>
          <w:szCs w:val="22"/>
        </w:rPr>
      </w:pPr>
      <w:r>
        <w:t>Security deposits, utility and land line phone deposits for households moving into a new unit (or relocating for health or safety reasons) in conjunction with rental assistance.</w:t>
      </w:r>
    </w:p>
    <w:p w:rsidR="007E7A60" w:rsidRPr="00331487" w:rsidRDefault="007E7A60" w:rsidP="007E7A60">
      <w:pPr>
        <w:pStyle w:val="ListParagraph"/>
        <w:tabs>
          <w:tab w:val="left" w:pos="720"/>
        </w:tabs>
        <w:rPr>
          <w:sz w:val="16"/>
          <w:szCs w:val="16"/>
        </w:rPr>
      </w:pPr>
    </w:p>
    <w:p w:rsidR="007E7A60" w:rsidRDefault="007E7A60" w:rsidP="007E7A60">
      <w:pPr>
        <w:pStyle w:val="ListParagraph"/>
        <w:tabs>
          <w:tab w:val="left" w:pos="720"/>
        </w:tabs>
      </w:pPr>
      <w:r>
        <w:t xml:space="preserve">Security deposits and utility deposits may also be paid for households who are complying with the terms and conditions of their Housing Stability Plan and are moving into permanent housing or are moving from a time-limited housing facility to a transition-in-place rental assistance model. </w:t>
      </w:r>
    </w:p>
    <w:p w:rsidR="00BD7B30" w:rsidRPr="00331487" w:rsidRDefault="00BD7B30" w:rsidP="007E7A60">
      <w:pPr>
        <w:pStyle w:val="ListParagraph"/>
        <w:tabs>
          <w:tab w:val="left" w:pos="720"/>
        </w:tabs>
        <w:rPr>
          <w:sz w:val="16"/>
          <w:szCs w:val="16"/>
        </w:rPr>
      </w:pPr>
    </w:p>
    <w:p w:rsidR="007E7A60" w:rsidRDefault="007E7A60" w:rsidP="00760B91">
      <w:pPr>
        <w:pStyle w:val="ListParagraph"/>
        <w:numPr>
          <w:ilvl w:val="0"/>
          <w:numId w:val="20"/>
        </w:numPr>
        <w:tabs>
          <w:tab w:val="left" w:pos="720"/>
        </w:tabs>
      </w:pPr>
      <w:r>
        <w:t xml:space="preserve">Costs associated with household credit checks, reasonable storage costs and landlord incentives </w:t>
      </w:r>
      <w:r w:rsidRPr="007B6B3C">
        <w:t xml:space="preserve">(provided there are written </w:t>
      </w:r>
      <w:r>
        <w:t>policies and/or procedures</w:t>
      </w:r>
      <w:r w:rsidRPr="007B6B3C">
        <w:t xml:space="preserve"> explaining what constitutes landlord incentives, how they are determined, and who has approv</w:t>
      </w:r>
      <w:r>
        <w:t>al and review responsibilities).</w:t>
      </w:r>
    </w:p>
    <w:p w:rsidR="007E7A60" w:rsidRPr="00331487" w:rsidRDefault="007E7A60" w:rsidP="007E7A60">
      <w:pPr>
        <w:pStyle w:val="ListParagraph"/>
        <w:rPr>
          <w:sz w:val="16"/>
          <w:szCs w:val="16"/>
        </w:rPr>
      </w:pPr>
    </w:p>
    <w:p w:rsidR="004C1102" w:rsidRDefault="007E7A60" w:rsidP="00760B91">
      <w:pPr>
        <w:pStyle w:val="ListParagraph"/>
        <w:numPr>
          <w:ilvl w:val="0"/>
          <w:numId w:val="20"/>
        </w:numPr>
        <w:tabs>
          <w:tab w:val="left" w:pos="720"/>
        </w:tabs>
      </w:pPr>
      <w:r w:rsidRPr="007B6B3C">
        <w:t>Reasonable moving costs such as</w:t>
      </w:r>
      <w:r w:rsidRPr="004C29B4">
        <w:rPr>
          <w:sz w:val="22"/>
          <w:szCs w:val="22"/>
        </w:rPr>
        <w:t xml:space="preserve"> </w:t>
      </w:r>
      <w:r w:rsidRPr="007B6B3C">
        <w:t>truck rental and hiring a moving company are also allowable. CHG is not a reunification or relocation program and assistance for moving costs related to reuniting households with family members is not eligible unless the participant can live with the family member permanently</w:t>
      </w:r>
      <w:r>
        <w:t xml:space="preserve">. </w:t>
      </w:r>
      <w:r w:rsidRPr="007B6B3C">
        <w:t xml:space="preserve">If the CHG household has been assessed and determined to meet all eligibility criteria and they have permanent affordable housing identified in another location, funds may be used to pay for reasonable moving costs to another location. However, note that transportation costs (including bus, train, and airplane tickets) for households are not </w:t>
      </w:r>
      <w:r>
        <w:t>eligible.</w:t>
      </w:r>
    </w:p>
    <w:p w:rsidR="004C1102" w:rsidRPr="001A31DB" w:rsidRDefault="004C1102" w:rsidP="004C1102">
      <w:pPr>
        <w:pStyle w:val="ListParagraph"/>
        <w:rPr>
          <w:sz w:val="16"/>
          <w:szCs w:val="16"/>
        </w:rPr>
      </w:pPr>
    </w:p>
    <w:p w:rsidR="00330E17" w:rsidRPr="00A754FB" w:rsidRDefault="007E7A60" w:rsidP="00760B91">
      <w:pPr>
        <w:pStyle w:val="ListParagraph"/>
        <w:numPr>
          <w:ilvl w:val="0"/>
          <w:numId w:val="20"/>
        </w:numPr>
        <w:tabs>
          <w:tab w:val="left" w:pos="720"/>
        </w:tabs>
      </w:pPr>
      <w:r>
        <w:t xml:space="preserve">Hotel/Motel </w:t>
      </w:r>
      <w:r w:rsidR="00AD7301">
        <w:t xml:space="preserve">expenses </w:t>
      </w:r>
      <w:r>
        <w:t xml:space="preserve">for up to 30 days </w:t>
      </w:r>
      <w:r w:rsidR="004C1102">
        <w:t xml:space="preserve">are allowable </w:t>
      </w:r>
      <w:r w:rsidRPr="004C1102">
        <w:t xml:space="preserve">if </w:t>
      </w:r>
      <w:r w:rsidR="004C1102">
        <w:t xml:space="preserve">unsheltered clients are actively engaged in housing search and no other shelter option is available. </w:t>
      </w:r>
    </w:p>
    <w:p w:rsidR="00A754FB" w:rsidRPr="00A754FB" w:rsidRDefault="00A754FB" w:rsidP="00A754FB">
      <w:pPr>
        <w:tabs>
          <w:tab w:val="left" w:pos="720"/>
        </w:tabs>
        <w:rPr>
          <w:sz w:val="16"/>
          <w:szCs w:val="16"/>
        </w:rPr>
      </w:pPr>
    </w:p>
    <w:p w:rsidR="006A4CE8" w:rsidRPr="00162B76" w:rsidRDefault="00330E17" w:rsidP="00760B91">
      <w:pPr>
        <w:pStyle w:val="ListParagraph"/>
        <w:numPr>
          <w:ilvl w:val="0"/>
          <w:numId w:val="20"/>
        </w:numPr>
      </w:pPr>
      <w:r w:rsidRPr="00162B76">
        <w:t>Rental Arrears. Rental assistance may also be used to pay for up to three months of rental arrears. Rental arrears may be paid if the payment enables the household to remain in the housing unit for which the arrears are being paid or move to another unit. If funds are used to pay rental arrears, arrears must be included in determining the total period of the household's rental assistance, which may not exceed 24 months.</w:t>
      </w:r>
    </w:p>
    <w:p w:rsidR="00EB05A1" w:rsidRPr="00331487" w:rsidRDefault="00EB05A1" w:rsidP="00EB05A1">
      <w:pPr>
        <w:pStyle w:val="ListParagraph"/>
        <w:rPr>
          <w:sz w:val="16"/>
          <w:szCs w:val="16"/>
        </w:rPr>
      </w:pPr>
    </w:p>
    <w:p w:rsidR="00EB05A1" w:rsidRPr="00162B76" w:rsidRDefault="00330E17" w:rsidP="00E660FD">
      <w:pPr>
        <w:pStyle w:val="ListParagraph"/>
      </w:pPr>
      <w:r w:rsidRPr="00162B76">
        <w:t>In cases where an eviction cannot be prevented, rental arrears can still be paid if it satisfies the grievance with the evicting landlord and thereby allows the household to obtain different housing. Note that rental arrears can be paid on behalf of a household receiving a subsidy from another public program (e.g., Section 8) because it represents a different time period and cost type than the rental subsidy (i.e., the arrears represents a back payment of the household portion, and the current rental assistance is a forward payment).</w:t>
      </w:r>
    </w:p>
    <w:p w:rsidR="00EB05A1" w:rsidRPr="001A31DB" w:rsidRDefault="00EB05A1" w:rsidP="00EB05A1">
      <w:pPr>
        <w:ind w:left="720"/>
        <w:rPr>
          <w:sz w:val="16"/>
          <w:szCs w:val="16"/>
        </w:rPr>
      </w:pPr>
    </w:p>
    <w:p w:rsidR="006B6505" w:rsidRDefault="00AC19EC" w:rsidP="00760B91">
      <w:pPr>
        <w:pStyle w:val="ListParagraph"/>
        <w:numPr>
          <w:ilvl w:val="0"/>
          <w:numId w:val="20"/>
        </w:numPr>
      </w:pPr>
      <w:r w:rsidRPr="00162B76">
        <w:t>Temporary Absences. If a household must be temporarily away from his or her unit, but is expected to return (e.g., participant violates conditions of their DOC supervision and is placed in confinement for 30 days), Lead/Sub Grantees may pay for the households rent for up to 60 days and charge the grant for eligible costs. While a household is temporarily absent, he or she may continue to receive case management. Any temporary absence must be fully documented in the client file.</w:t>
      </w:r>
      <w:r w:rsidR="006B6505">
        <w:t xml:space="preserve"> </w:t>
      </w:r>
    </w:p>
    <w:p w:rsidR="001A31DB" w:rsidRDefault="001A31DB" w:rsidP="001A31DB">
      <w:pPr>
        <w:pStyle w:val="ListParagraph"/>
      </w:pPr>
    </w:p>
    <w:p w:rsidR="00A238AF" w:rsidRPr="006B6505" w:rsidRDefault="00197D26" w:rsidP="00760B91">
      <w:pPr>
        <w:pStyle w:val="ListParagraph"/>
        <w:numPr>
          <w:ilvl w:val="0"/>
          <w:numId w:val="20"/>
        </w:numPr>
      </w:pPr>
      <w:r w:rsidRPr="006B6505">
        <w:lastRenderedPageBreak/>
        <w:t>CHG rent</w:t>
      </w:r>
      <w:r w:rsidRPr="003B5765">
        <w:t xml:space="preserve"> assistance may be used for move-in costs</w:t>
      </w:r>
      <w:r w:rsidR="00032454">
        <w:t xml:space="preserve"> including but not limited to deposits and first months</w:t>
      </w:r>
      <w:r w:rsidR="00890D9F">
        <w:t>’</w:t>
      </w:r>
      <w:r w:rsidR="00032454">
        <w:t xml:space="preserve"> rent</w:t>
      </w:r>
      <w:r w:rsidRPr="003B5765">
        <w:t xml:space="preserve"> associated </w:t>
      </w:r>
      <w:r w:rsidRPr="006B6505">
        <w:t>with</w:t>
      </w:r>
      <w:r w:rsidR="00032454" w:rsidRPr="006B6505">
        <w:t xml:space="preserve"> </w:t>
      </w:r>
      <w:r w:rsidR="00FE0C12" w:rsidRPr="006B6505">
        <w:t>subsidized housing</w:t>
      </w:r>
      <w:r w:rsidR="00032454" w:rsidRPr="006B6505">
        <w:t>, including project- or tenant-based housing</w:t>
      </w:r>
      <w:r w:rsidRPr="006B6505">
        <w:t>.</w:t>
      </w:r>
      <w:r w:rsidRPr="003B5765">
        <w:t xml:space="preserve">  Rent assistance funds cannot be used for ongoing rent/utilities in this situation.</w:t>
      </w:r>
      <w:r w:rsidR="003B5765" w:rsidRPr="003B5765">
        <w:t xml:space="preserve"> </w:t>
      </w:r>
    </w:p>
    <w:p w:rsidR="007E7A60" w:rsidRPr="00331487" w:rsidRDefault="007E7A60" w:rsidP="007E7A60">
      <w:pPr>
        <w:rPr>
          <w:sz w:val="16"/>
          <w:szCs w:val="16"/>
        </w:rPr>
      </w:pPr>
    </w:p>
    <w:p w:rsidR="007E7A60" w:rsidRPr="008D43B1" w:rsidRDefault="00330E17" w:rsidP="00760B91">
      <w:pPr>
        <w:pStyle w:val="ListParagraph"/>
        <w:numPr>
          <w:ilvl w:val="0"/>
          <w:numId w:val="20"/>
        </w:numPr>
        <w:tabs>
          <w:tab w:val="left" w:pos="720"/>
        </w:tabs>
      </w:pPr>
      <w:r w:rsidRPr="008D43B1">
        <w:t>Other costs as approved by Commerce</w:t>
      </w:r>
      <w:r w:rsidR="007E7A60" w:rsidRPr="008D43B1">
        <w:t>.</w:t>
      </w:r>
    </w:p>
    <w:p w:rsidR="007E7A60" w:rsidRDefault="007E7A60" w:rsidP="007E7A60">
      <w:pPr>
        <w:tabs>
          <w:tab w:val="left" w:pos="720"/>
        </w:tabs>
        <w:ind w:left="360"/>
        <w:rPr>
          <w:sz w:val="22"/>
          <w:szCs w:val="22"/>
        </w:rPr>
      </w:pPr>
    </w:p>
    <w:p w:rsidR="007E7A60" w:rsidRPr="00777BB4" w:rsidRDefault="007E7A60" w:rsidP="008D43B1">
      <w:pPr>
        <w:shd w:val="clear" w:color="auto" w:fill="FFFFFF" w:themeFill="background1"/>
      </w:pPr>
      <w:r w:rsidRPr="00777BB4">
        <w:t xml:space="preserve">The following </w:t>
      </w:r>
      <w:r w:rsidR="00E660FD">
        <w:t>activities</w:t>
      </w:r>
      <w:r w:rsidRPr="00777BB4">
        <w:t xml:space="preserve"> are </w:t>
      </w:r>
      <w:r w:rsidRPr="00777BB4">
        <w:rPr>
          <w:u w:val="single"/>
        </w:rPr>
        <w:t>not eligible</w:t>
      </w:r>
      <w:r w:rsidRPr="00777BB4">
        <w:t xml:space="preserve">: </w:t>
      </w:r>
    </w:p>
    <w:p w:rsidR="00197D26" w:rsidRPr="00197D26" w:rsidRDefault="00197D26" w:rsidP="00197D26">
      <w:pPr>
        <w:ind w:left="720"/>
        <w:rPr>
          <w:b/>
          <w:bCs/>
        </w:rPr>
      </w:pPr>
    </w:p>
    <w:p w:rsidR="007E7A60" w:rsidRPr="004C5B56" w:rsidRDefault="007E7A60" w:rsidP="00760B91">
      <w:pPr>
        <w:numPr>
          <w:ilvl w:val="0"/>
          <w:numId w:val="13"/>
        </w:numPr>
        <w:rPr>
          <w:b/>
          <w:bCs/>
        </w:rPr>
      </w:pPr>
      <w:r w:rsidRPr="004C5B56">
        <w:t>CHG rent and rent/utility assistance cannot be combined with CHG funded facility support</w:t>
      </w:r>
      <w:r w:rsidR="003B5765" w:rsidRPr="004C5B56">
        <w:t xml:space="preserve">.  </w:t>
      </w:r>
    </w:p>
    <w:p w:rsidR="00535941" w:rsidRPr="00331487" w:rsidRDefault="00535941" w:rsidP="00535941">
      <w:pPr>
        <w:ind w:left="720"/>
        <w:rPr>
          <w:b/>
          <w:bCs/>
          <w:sz w:val="16"/>
          <w:szCs w:val="16"/>
        </w:rPr>
      </w:pPr>
    </w:p>
    <w:p w:rsidR="007E7A60" w:rsidRDefault="007E7A60" w:rsidP="00760B91">
      <w:pPr>
        <w:numPr>
          <w:ilvl w:val="0"/>
          <w:numId w:val="13"/>
        </w:numPr>
        <w:rPr>
          <w:bCs/>
        </w:rPr>
      </w:pPr>
      <w:r>
        <w:rPr>
          <w:bCs/>
        </w:rPr>
        <w:t xml:space="preserve">More than </w:t>
      </w:r>
      <w:r w:rsidRPr="00777BB4">
        <w:rPr>
          <w:bCs/>
        </w:rPr>
        <w:t>24 months of rent and utility assistance.</w:t>
      </w:r>
    </w:p>
    <w:p w:rsidR="00535941" w:rsidRPr="00331487" w:rsidRDefault="00535941" w:rsidP="00535941">
      <w:pPr>
        <w:ind w:left="720"/>
        <w:rPr>
          <w:bCs/>
          <w:sz w:val="16"/>
          <w:szCs w:val="16"/>
        </w:rPr>
      </w:pPr>
    </w:p>
    <w:p w:rsidR="007E7A60" w:rsidRDefault="007E7A60" w:rsidP="00760B91">
      <w:pPr>
        <w:numPr>
          <w:ilvl w:val="0"/>
          <w:numId w:val="13"/>
        </w:numPr>
        <w:rPr>
          <w:bCs/>
        </w:rPr>
      </w:pPr>
      <w:r>
        <w:rPr>
          <w:bCs/>
        </w:rPr>
        <w:t>Transportation costs for household members (</w:t>
      </w:r>
      <w:r w:rsidR="00527516">
        <w:rPr>
          <w:bCs/>
        </w:rPr>
        <w:t>e.g.</w:t>
      </w:r>
      <w:r>
        <w:rPr>
          <w:bCs/>
        </w:rPr>
        <w:t xml:space="preserve"> bus, train and airplane tickets) related to initial move-in or for any subsequent moves are not eligible CHG costs.</w:t>
      </w:r>
    </w:p>
    <w:p w:rsidR="00535941" w:rsidRPr="00331487" w:rsidRDefault="00535941" w:rsidP="00535941">
      <w:pPr>
        <w:ind w:left="720"/>
        <w:rPr>
          <w:bCs/>
          <w:sz w:val="16"/>
          <w:szCs w:val="16"/>
        </w:rPr>
      </w:pPr>
    </w:p>
    <w:p w:rsidR="007E7A60" w:rsidRDefault="007E7A60" w:rsidP="00760B91">
      <w:pPr>
        <w:numPr>
          <w:ilvl w:val="0"/>
          <w:numId w:val="13"/>
        </w:numPr>
        <w:rPr>
          <w:bCs/>
        </w:rPr>
      </w:pPr>
      <w:r>
        <w:rPr>
          <w:bCs/>
        </w:rPr>
        <w:t>Furniture</w:t>
      </w:r>
    </w:p>
    <w:p w:rsidR="00535941" w:rsidRPr="00331487" w:rsidRDefault="00535941" w:rsidP="00535941">
      <w:pPr>
        <w:pStyle w:val="ListParagraph"/>
        <w:tabs>
          <w:tab w:val="left" w:pos="720"/>
        </w:tabs>
        <w:rPr>
          <w:sz w:val="16"/>
          <w:szCs w:val="16"/>
        </w:rPr>
      </w:pPr>
    </w:p>
    <w:p w:rsidR="007E7A60" w:rsidRDefault="007E7A60" w:rsidP="00760B91">
      <w:pPr>
        <w:pStyle w:val="ListParagraph"/>
        <w:numPr>
          <w:ilvl w:val="0"/>
          <w:numId w:val="13"/>
        </w:numPr>
        <w:tabs>
          <w:tab w:val="left" w:pos="720"/>
        </w:tabs>
      </w:pPr>
      <w:r>
        <w:t>Pet Deposits.  Note: It is an unfair practice for a landlord to charge a tenant with a disability using a dog guide or service animal a pet deposit in addition to any standard cleaning or damage deposit charged to all tenants. (WAC 162-38-100)</w:t>
      </w:r>
    </w:p>
    <w:p w:rsidR="00535941" w:rsidRPr="00331487" w:rsidRDefault="00535941" w:rsidP="00535941">
      <w:pPr>
        <w:pStyle w:val="ListParagraph"/>
        <w:tabs>
          <w:tab w:val="left" w:pos="720"/>
        </w:tabs>
        <w:rPr>
          <w:sz w:val="16"/>
          <w:szCs w:val="16"/>
        </w:rPr>
      </w:pPr>
    </w:p>
    <w:p w:rsidR="007E7A60" w:rsidRDefault="007E7A60" w:rsidP="00760B91">
      <w:pPr>
        <w:pStyle w:val="ListParagraph"/>
        <w:numPr>
          <w:ilvl w:val="0"/>
          <w:numId w:val="13"/>
        </w:numPr>
        <w:tabs>
          <w:tab w:val="left" w:pos="720"/>
        </w:tabs>
      </w:pPr>
      <w:r>
        <w:t>Cable, satellite or internet deposits or services.</w:t>
      </w:r>
    </w:p>
    <w:p w:rsidR="00535941" w:rsidRPr="00331487" w:rsidRDefault="00535941" w:rsidP="00535941">
      <w:pPr>
        <w:pStyle w:val="QuickA"/>
        <w:numPr>
          <w:ilvl w:val="0"/>
          <w:numId w:val="0"/>
        </w:numPr>
        <w:tabs>
          <w:tab w:val="left" w:pos="-1440"/>
        </w:tabs>
        <w:ind w:left="720"/>
        <w:rPr>
          <w:sz w:val="16"/>
          <w:szCs w:val="16"/>
        </w:rPr>
      </w:pPr>
    </w:p>
    <w:p w:rsidR="00330E17" w:rsidRPr="00162B76" w:rsidRDefault="00330E17" w:rsidP="00760B91">
      <w:pPr>
        <w:pStyle w:val="QuickA"/>
        <w:numPr>
          <w:ilvl w:val="0"/>
          <w:numId w:val="13"/>
        </w:numPr>
        <w:tabs>
          <w:tab w:val="left" w:pos="-1440"/>
        </w:tabs>
      </w:pPr>
      <w:r w:rsidRPr="00162B76">
        <w:rPr>
          <w:bCs/>
        </w:rPr>
        <w:t xml:space="preserve">Portability.  </w:t>
      </w:r>
      <w:r w:rsidRPr="00162B76">
        <w:t xml:space="preserve">Households may not transfer their rent assistance to areas outside of the </w:t>
      </w:r>
      <w:r w:rsidR="007B2DE5">
        <w:t>Lead/Sub Grantee’s</w:t>
      </w:r>
      <w:r w:rsidRPr="00162B76">
        <w:t xml:space="preserve"> jurisdiction.</w:t>
      </w:r>
    </w:p>
    <w:p w:rsidR="00A16699" w:rsidRPr="00A16699" w:rsidRDefault="00A16699" w:rsidP="00EB05A1">
      <w:pPr>
        <w:pStyle w:val="ListParagraph"/>
        <w:tabs>
          <w:tab w:val="left" w:pos="360"/>
          <w:tab w:val="left" w:pos="720"/>
        </w:tabs>
        <w:rPr>
          <w:b/>
          <w:bCs/>
        </w:rPr>
      </w:pPr>
    </w:p>
    <w:p w:rsidR="00DE7F87" w:rsidRDefault="00DE7F87" w:rsidP="0029260C">
      <w:pPr>
        <w:shd w:val="clear" w:color="auto" w:fill="FFFFFF" w:themeFill="background1"/>
        <w:rPr>
          <w:b/>
          <w:bCs/>
        </w:rPr>
      </w:pPr>
      <w:r>
        <w:rPr>
          <w:b/>
          <w:bCs/>
        </w:rPr>
        <w:t xml:space="preserve">Allowable </w:t>
      </w:r>
      <w:r w:rsidR="00F940C0">
        <w:rPr>
          <w:b/>
          <w:bCs/>
        </w:rPr>
        <w:t xml:space="preserve">Rent Assistance </w:t>
      </w:r>
      <w:r>
        <w:rPr>
          <w:b/>
          <w:bCs/>
        </w:rPr>
        <w:t>Models</w:t>
      </w:r>
    </w:p>
    <w:p w:rsidR="001F34C8" w:rsidRDefault="00DE7F87" w:rsidP="001F34C8">
      <w:r w:rsidRPr="00652368">
        <w:rPr>
          <w:bCs/>
        </w:rPr>
        <w:t>CHG rent assi</w:t>
      </w:r>
      <w:r w:rsidR="007B28A3">
        <w:rPr>
          <w:bCs/>
        </w:rPr>
        <w:t>stance may be applied to tenant-based, project-</w:t>
      </w:r>
      <w:r w:rsidRPr="00652368">
        <w:rPr>
          <w:bCs/>
        </w:rPr>
        <w:t>based or master leasing arrangements</w:t>
      </w:r>
      <w:r w:rsidR="00832549">
        <w:rPr>
          <w:bCs/>
        </w:rPr>
        <w:t xml:space="preserve">. </w:t>
      </w:r>
      <w:r w:rsidRPr="00652368">
        <w:rPr>
          <w:bCs/>
        </w:rPr>
        <w:t xml:space="preserve"> </w:t>
      </w:r>
      <w:r w:rsidR="001F34C8">
        <w:t xml:space="preserve">The rent assistance model must be consistent for all households within each individual program.  Each program (defined by program type and </w:t>
      </w:r>
      <w:r w:rsidR="00326E3A">
        <w:t>location designated</w:t>
      </w:r>
      <w:r w:rsidR="001F34C8">
        <w:t xml:space="preserve"> a unique row on the housing inventory chart</w:t>
      </w:r>
      <w:r w:rsidR="003D3998">
        <w:t>)</w:t>
      </w:r>
      <w:r w:rsidR="001F34C8">
        <w:t xml:space="preserve"> is allowed only one model</w:t>
      </w:r>
      <w:r w:rsidR="0094725C">
        <w:t xml:space="preserve"> and rent assistance calculations must be documented in the client file. </w:t>
      </w:r>
      <w:r w:rsidR="001F34C8">
        <w:t xml:space="preserve">An agency may employ more than one model, but only one model may be used per program.  </w:t>
      </w:r>
    </w:p>
    <w:p w:rsidR="00142E04" w:rsidRDefault="00142E04" w:rsidP="001F34C8"/>
    <w:p w:rsidR="00DE7F87" w:rsidRPr="0094725C" w:rsidRDefault="00820EB0" w:rsidP="00DE7F87">
      <w:pPr>
        <w:rPr>
          <w:bCs/>
        </w:rPr>
      </w:pPr>
      <w:r>
        <w:rPr>
          <w:bCs/>
        </w:rPr>
        <w:t xml:space="preserve">The allowable </w:t>
      </w:r>
      <w:r w:rsidRPr="0094725C">
        <w:rPr>
          <w:bCs/>
        </w:rPr>
        <w:t>models</w:t>
      </w:r>
      <w:r w:rsidR="00DE7F87" w:rsidRPr="0094725C">
        <w:rPr>
          <w:bCs/>
        </w:rPr>
        <w:t>:</w:t>
      </w:r>
    </w:p>
    <w:p w:rsidR="00CA713A" w:rsidRPr="00331487" w:rsidRDefault="00CA713A">
      <w:pPr>
        <w:pStyle w:val="ListParagraph"/>
        <w:rPr>
          <w:bCs/>
          <w:sz w:val="16"/>
          <w:szCs w:val="16"/>
        </w:rPr>
      </w:pPr>
    </w:p>
    <w:p w:rsidR="0007591C" w:rsidRPr="0094725C" w:rsidRDefault="00820EB0" w:rsidP="00760B91">
      <w:pPr>
        <w:pStyle w:val="ListParagraph"/>
        <w:numPr>
          <w:ilvl w:val="0"/>
          <w:numId w:val="12"/>
        </w:numPr>
        <w:rPr>
          <w:bCs/>
        </w:rPr>
      </w:pPr>
      <w:r w:rsidRPr="0094725C">
        <w:rPr>
          <w:bCs/>
        </w:rPr>
        <w:t>Household income</w:t>
      </w:r>
      <w:r w:rsidR="0094725C">
        <w:rPr>
          <w:bCs/>
        </w:rPr>
        <w:t>:</w:t>
      </w:r>
      <w:r w:rsidR="0094725C" w:rsidRPr="0094725C">
        <w:rPr>
          <w:bCs/>
        </w:rPr>
        <w:t xml:space="preserve"> </w:t>
      </w:r>
      <w:r w:rsidR="00AB48BA">
        <w:rPr>
          <w:bCs/>
        </w:rPr>
        <w:t>Household rent share is</w:t>
      </w:r>
      <w:r w:rsidR="004B5B4C">
        <w:rPr>
          <w:bCs/>
        </w:rPr>
        <w:t xml:space="preserve"> based on</w:t>
      </w:r>
      <w:r w:rsidR="00AB48BA">
        <w:rPr>
          <w:bCs/>
        </w:rPr>
        <w:t xml:space="preserve"> </w:t>
      </w:r>
      <w:r w:rsidR="004C29B4" w:rsidRPr="004C29B4">
        <w:t xml:space="preserve">a specific percentage of </w:t>
      </w:r>
      <w:r w:rsidR="004B5B4C">
        <w:t>household</w:t>
      </w:r>
      <w:r w:rsidR="004C29B4" w:rsidRPr="004C29B4">
        <w:t xml:space="preserve"> income (e.g. 30 percent, 40 percent, 50 percent). CHG does NOT mandate any specific </w:t>
      </w:r>
      <w:r w:rsidR="004B5B4C">
        <w:t>tenant</w:t>
      </w:r>
      <w:r w:rsidR="004C29B4" w:rsidRPr="004C29B4">
        <w:t xml:space="preserve"> contribution.</w:t>
      </w:r>
    </w:p>
    <w:p w:rsidR="00F34C5F" w:rsidRPr="00331487" w:rsidRDefault="00F34C5F" w:rsidP="00A851F5">
      <w:pPr>
        <w:pStyle w:val="ListParagraph"/>
        <w:rPr>
          <w:bCs/>
          <w:sz w:val="16"/>
          <w:szCs w:val="16"/>
        </w:rPr>
      </w:pPr>
    </w:p>
    <w:p w:rsidR="0094725C" w:rsidRPr="0094725C" w:rsidRDefault="004B5B4C" w:rsidP="00760B91">
      <w:pPr>
        <w:pStyle w:val="ListParagraph"/>
        <w:numPr>
          <w:ilvl w:val="0"/>
          <w:numId w:val="12"/>
        </w:numPr>
      </w:pPr>
      <w:r>
        <w:rPr>
          <w:bCs/>
        </w:rPr>
        <w:t>P</w:t>
      </w:r>
      <w:r w:rsidR="0094725C" w:rsidRPr="0094725C">
        <w:rPr>
          <w:bCs/>
        </w:rPr>
        <w:t xml:space="preserve">ercentage of the rent: </w:t>
      </w:r>
      <w:r w:rsidR="00AB48BA">
        <w:t>Household rent share is a pre-set percentage of the rent</w:t>
      </w:r>
      <w:r>
        <w:t xml:space="preserve"> (</w:t>
      </w:r>
      <w:r w:rsidR="00373706">
        <w:t xml:space="preserve">e.g. </w:t>
      </w:r>
      <w:r w:rsidR="00373706" w:rsidRPr="0094725C">
        <w:t>all</w:t>
      </w:r>
      <w:r w:rsidR="0094725C" w:rsidRPr="0094725C">
        <w:t xml:space="preserve"> households must pay 75</w:t>
      </w:r>
      <w:r w:rsidR="00527516">
        <w:t xml:space="preserve"> percent</w:t>
      </w:r>
      <w:r w:rsidR="0094725C" w:rsidRPr="0094725C">
        <w:t xml:space="preserve"> of their rent</w:t>
      </w:r>
      <w:r>
        <w:t>)</w:t>
      </w:r>
      <w:r w:rsidR="0094725C" w:rsidRPr="0094725C">
        <w:t>.</w:t>
      </w:r>
    </w:p>
    <w:p w:rsidR="00CA713A" w:rsidRDefault="00CA713A">
      <w:pPr>
        <w:pStyle w:val="ListParagraph"/>
        <w:rPr>
          <w:bCs/>
        </w:rPr>
      </w:pPr>
    </w:p>
    <w:p w:rsidR="00863AD6" w:rsidRPr="0094725C" w:rsidRDefault="00820EB0" w:rsidP="00760B91">
      <w:pPr>
        <w:pStyle w:val="ListParagraph"/>
        <w:numPr>
          <w:ilvl w:val="0"/>
          <w:numId w:val="12"/>
        </w:numPr>
        <w:rPr>
          <w:bCs/>
        </w:rPr>
      </w:pPr>
      <w:r w:rsidRPr="0094725C">
        <w:rPr>
          <w:bCs/>
        </w:rPr>
        <w:t>Graduated subsidy</w:t>
      </w:r>
      <w:r w:rsidR="0094725C">
        <w:rPr>
          <w:bCs/>
        </w:rPr>
        <w:t>:</w:t>
      </w:r>
      <w:r w:rsidR="0094725C" w:rsidRPr="0094725C">
        <w:rPr>
          <w:bCs/>
        </w:rPr>
        <w:t xml:space="preserve"> </w:t>
      </w:r>
      <w:r w:rsidR="004C29B4" w:rsidRPr="004C29B4">
        <w:t>Whether income</w:t>
      </w:r>
      <w:r w:rsidR="0094725C" w:rsidRPr="0094725C">
        <w:rPr>
          <w:rFonts w:asciiTheme="minorHAnsi" w:hAnsiTheme="minorHAnsi"/>
        </w:rPr>
        <w:t>‐</w:t>
      </w:r>
      <w:r w:rsidR="004C29B4" w:rsidRPr="004C29B4">
        <w:t>based or fixed, the subsidy decline</w:t>
      </w:r>
      <w:r w:rsidR="004B5B4C">
        <w:t>s</w:t>
      </w:r>
      <w:r w:rsidR="004C29B4" w:rsidRPr="004C29B4">
        <w:t xml:space="preserve"> in “steps” based upon a fixed timeline or when the individual has reached specific goals, until the household assumes full responsibility for monthly housing costs. The steps are known</w:t>
      </w:r>
      <w:r w:rsidR="00AB48BA">
        <w:t xml:space="preserve"> (and documented)</w:t>
      </w:r>
      <w:r w:rsidR="004C29B4" w:rsidRPr="004C29B4">
        <w:t xml:space="preserve"> in advance and act as deadlines for increasing income.</w:t>
      </w:r>
    </w:p>
    <w:p w:rsidR="00926606" w:rsidRPr="00652368" w:rsidRDefault="00926606" w:rsidP="00DE7F87">
      <w:pPr>
        <w:ind w:left="360"/>
        <w:rPr>
          <w:bCs/>
        </w:rPr>
      </w:pPr>
    </w:p>
    <w:p w:rsidR="00CB6282" w:rsidRPr="00CB6282" w:rsidRDefault="00CB6282" w:rsidP="00CB6282">
      <w:r>
        <w:lastRenderedPageBreak/>
        <w:t xml:space="preserve">Lead/Sub Grantee CHG </w:t>
      </w:r>
      <w:r w:rsidR="001B6F40">
        <w:t>policies and/or procedures</w:t>
      </w:r>
      <w:r w:rsidRPr="00CB6282">
        <w:t xml:space="preserve"> </w:t>
      </w:r>
      <w:r w:rsidR="00330E17" w:rsidRPr="00330E17">
        <w:rPr>
          <w:i/>
        </w:rPr>
        <w:t>for rent assistance</w:t>
      </w:r>
      <w:r w:rsidR="007E7A60">
        <w:t xml:space="preserve"> </w:t>
      </w:r>
      <w:r w:rsidRPr="00CB6282">
        <w:t>must include, at a minimum:</w:t>
      </w:r>
      <w:r w:rsidR="007E7A60">
        <w:t xml:space="preserve"> </w:t>
      </w:r>
    </w:p>
    <w:p w:rsidR="00CB6282" w:rsidRPr="00CB6282" w:rsidRDefault="00CB6282" w:rsidP="00CB6282"/>
    <w:p w:rsidR="00CB6282" w:rsidRDefault="00CB6282" w:rsidP="00760B91">
      <w:pPr>
        <w:pStyle w:val="ListParagraph"/>
        <w:numPr>
          <w:ilvl w:val="0"/>
          <w:numId w:val="24"/>
        </w:numPr>
        <w:tabs>
          <w:tab w:val="left" w:pos="720"/>
        </w:tabs>
      </w:pPr>
      <w:r w:rsidRPr="00CB6282">
        <w:t xml:space="preserve">A clear description of the </w:t>
      </w:r>
      <w:r>
        <w:t>model</w:t>
      </w:r>
      <w:r w:rsidRPr="00162B76">
        <w:t xml:space="preserve">, </w:t>
      </w:r>
      <w:r w:rsidR="00E660FD" w:rsidRPr="00162B76">
        <w:t>rent subsidy/</w:t>
      </w:r>
      <w:r w:rsidRPr="00162B76">
        <w:t>household’s share of rent and utilities and how it is calculated.</w:t>
      </w:r>
      <w:r w:rsidR="00B74DDD">
        <w:t xml:space="preserve"> </w:t>
      </w:r>
    </w:p>
    <w:p w:rsidR="00535941" w:rsidRPr="00331487" w:rsidRDefault="00535941" w:rsidP="00535941">
      <w:pPr>
        <w:pStyle w:val="ListParagraph"/>
        <w:tabs>
          <w:tab w:val="left" w:pos="720"/>
        </w:tabs>
        <w:rPr>
          <w:sz w:val="16"/>
          <w:szCs w:val="16"/>
        </w:rPr>
      </w:pPr>
    </w:p>
    <w:p w:rsidR="00535941" w:rsidRPr="003C7DCE" w:rsidRDefault="00535941" w:rsidP="009E1F26">
      <w:pPr>
        <w:rPr>
          <w:sz w:val="16"/>
          <w:szCs w:val="16"/>
        </w:rPr>
      </w:pPr>
    </w:p>
    <w:p w:rsidR="008D005E" w:rsidRDefault="008D005E" w:rsidP="008D005E">
      <w:pPr>
        <w:pStyle w:val="ListParagraph"/>
        <w:numPr>
          <w:ilvl w:val="0"/>
          <w:numId w:val="24"/>
        </w:numPr>
      </w:pPr>
      <w:r w:rsidRPr="008D005E">
        <w:t xml:space="preserve">A written policy that specifies whether utility/rent deposits should be returned to the client or to the agency. If deposits are returned to the agency a </w:t>
      </w:r>
      <w:r w:rsidRPr="002A7AC7">
        <w:t>written procedure for recording the return as program income is also required.</w:t>
      </w:r>
    </w:p>
    <w:p w:rsidR="00436D40" w:rsidRPr="00162B76" w:rsidRDefault="00436D40" w:rsidP="00436D40">
      <w:pPr>
        <w:tabs>
          <w:tab w:val="left" w:pos="720"/>
        </w:tabs>
      </w:pPr>
    </w:p>
    <w:p w:rsidR="00436D40" w:rsidRPr="00162B76" w:rsidRDefault="00436D40" w:rsidP="00436D40">
      <w:pPr>
        <w:tabs>
          <w:tab w:val="left" w:pos="720"/>
        </w:tabs>
      </w:pPr>
      <w:r w:rsidRPr="00162B76">
        <w:t xml:space="preserve">When rent assistance is based on a household’s income </w:t>
      </w:r>
      <w:r w:rsidR="00863AD6" w:rsidRPr="00162B76">
        <w:t xml:space="preserve">(See Income Definition page 3), </w:t>
      </w:r>
      <w:r w:rsidRPr="00162B76">
        <w:t xml:space="preserve">the following CHG </w:t>
      </w:r>
      <w:r w:rsidR="001B6F40" w:rsidRPr="00162B76">
        <w:t>policies and/or procedures</w:t>
      </w:r>
      <w:r w:rsidRPr="00162B76">
        <w:t xml:space="preserve"> must include, at a minimum:</w:t>
      </w:r>
    </w:p>
    <w:p w:rsidR="00436D40" w:rsidRPr="00162B76" w:rsidRDefault="00436D40" w:rsidP="00436D40">
      <w:pPr>
        <w:tabs>
          <w:tab w:val="left" w:pos="720"/>
        </w:tabs>
      </w:pPr>
    </w:p>
    <w:p w:rsidR="00436D40" w:rsidRPr="00162B76" w:rsidRDefault="00436D40" w:rsidP="00760B91">
      <w:pPr>
        <w:pStyle w:val="ListParagraph"/>
        <w:numPr>
          <w:ilvl w:val="0"/>
          <w:numId w:val="25"/>
        </w:numPr>
        <w:tabs>
          <w:tab w:val="left" w:pos="720"/>
        </w:tabs>
      </w:pPr>
      <w:r w:rsidRPr="00162B76">
        <w:t>Minimum tenant payments (if any).</w:t>
      </w:r>
    </w:p>
    <w:p w:rsidR="00535941" w:rsidRPr="00331487" w:rsidRDefault="00535941" w:rsidP="00535941">
      <w:pPr>
        <w:pStyle w:val="ListParagraph"/>
        <w:tabs>
          <w:tab w:val="left" w:pos="720"/>
        </w:tabs>
        <w:rPr>
          <w:sz w:val="16"/>
          <w:szCs w:val="16"/>
        </w:rPr>
      </w:pPr>
    </w:p>
    <w:p w:rsidR="004F1BE2" w:rsidRDefault="00436D40" w:rsidP="00760B91">
      <w:pPr>
        <w:pStyle w:val="ListParagraph"/>
        <w:numPr>
          <w:ilvl w:val="0"/>
          <w:numId w:val="25"/>
        </w:numPr>
        <w:tabs>
          <w:tab w:val="left" w:pos="720"/>
        </w:tabs>
      </w:pPr>
      <w:r w:rsidRPr="00162B76">
        <w:t>How utilities impact a household’s subsidy.</w:t>
      </w:r>
    </w:p>
    <w:p w:rsidR="004F1BE2" w:rsidRDefault="004F1BE2" w:rsidP="004F1BE2">
      <w:pPr>
        <w:pStyle w:val="ListParagraph"/>
      </w:pPr>
    </w:p>
    <w:p w:rsidR="00436D40" w:rsidRDefault="00227B39" w:rsidP="00760B91">
      <w:pPr>
        <w:pStyle w:val="ListParagraph"/>
        <w:numPr>
          <w:ilvl w:val="0"/>
          <w:numId w:val="25"/>
        </w:numPr>
        <w:tabs>
          <w:tab w:val="left" w:pos="720"/>
        </w:tabs>
      </w:pPr>
      <w:r w:rsidRPr="00162B76">
        <w:t xml:space="preserve">Any requirement for </w:t>
      </w:r>
      <w:r w:rsidR="00436D40" w:rsidRPr="00162B76">
        <w:t>households to report changes in income prior to recertification</w:t>
      </w:r>
      <w:r w:rsidRPr="00162B76">
        <w:t xml:space="preserve"> and </w:t>
      </w:r>
      <w:r w:rsidR="00436D40" w:rsidRPr="00162B76">
        <w:t xml:space="preserve">how </w:t>
      </w:r>
      <w:r w:rsidRPr="00162B76">
        <w:t>changes in income will</w:t>
      </w:r>
      <w:r>
        <w:t xml:space="preserve"> </w:t>
      </w:r>
      <w:r w:rsidR="00436D40" w:rsidRPr="00436D40">
        <w:t xml:space="preserve">impact tenant </w:t>
      </w:r>
      <w:r>
        <w:t xml:space="preserve">rent </w:t>
      </w:r>
      <w:r w:rsidR="00162B76">
        <w:t>share</w:t>
      </w:r>
      <w:r>
        <w:t>.</w:t>
      </w:r>
    </w:p>
    <w:p w:rsidR="00436D40" w:rsidRDefault="00436D40" w:rsidP="00DE7F87"/>
    <w:p w:rsidR="0001352D" w:rsidDel="00322A33" w:rsidRDefault="0001352D" w:rsidP="0029260C">
      <w:pPr>
        <w:shd w:val="clear" w:color="auto" w:fill="FFFFFF" w:themeFill="background1"/>
        <w:tabs>
          <w:tab w:val="left" w:pos="720"/>
        </w:tabs>
        <w:rPr>
          <w:b/>
        </w:rPr>
      </w:pPr>
      <w:r w:rsidDel="00322A33">
        <w:rPr>
          <w:b/>
        </w:rPr>
        <w:t>Lease Requirements</w:t>
      </w:r>
    </w:p>
    <w:p w:rsidR="00A9492A" w:rsidRPr="00A16699" w:rsidRDefault="0001352D" w:rsidP="0001352D">
      <w:pPr>
        <w:tabs>
          <w:tab w:val="left" w:pos="720"/>
        </w:tabs>
        <w:rPr>
          <w:i/>
        </w:rPr>
      </w:pPr>
      <w:r w:rsidDel="00322A33">
        <w:t>To r</w:t>
      </w:r>
      <w:r w:rsidR="007B28A3" w:rsidDel="00322A33">
        <w:t>eceive tenant-</w:t>
      </w:r>
      <w:r w:rsidDel="00322A33">
        <w:t xml:space="preserve">based rent assistance a lease (or rent </w:t>
      </w:r>
      <w:r w:rsidR="00E43072" w:rsidDel="00322A33">
        <w:t>agreement) must be between the Lead/Sub</w:t>
      </w:r>
      <w:r w:rsidDel="00322A33">
        <w:t xml:space="preserve"> </w:t>
      </w:r>
      <w:r w:rsidR="00E43072" w:rsidDel="00322A33">
        <w:t>G</w:t>
      </w:r>
      <w:r w:rsidDel="00322A33">
        <w:t xml:space="preserve">rantee and the landlord or the household and the landlord. A copy of the lease must be retained in client files. </w:t>
      </w:r>
    </w:p>
    <w:p w:rsidR="00A9492A" w:rsidRDefault="00A9492A" w:rsidP="00543826">
      <w:pPr>
        <w:rPr>
          <w:b/>
          <w:bCs/>
        </w:rPr>
      </w:pPr>
    </w:p>
    <w:p w:rsidR="008142B1" w:rsidRPr="00882E28" w:rsidRDefault="00B60ADD" w:rsidP="0029260C">
      <w:pPr>
        <w:shd w:val="clear" w:color="auto" w:fill="FFFFFF" w:themeFill="background1"/>
      </w:pPr>
      <w:r w:rsidRPr="00882E28">
        <w:rPr>
          <w:b/>
          <w:bCs/>
        </w:rPr>
        <w:t>Rent Reasonableness</w:t>
      </w:r>
    </w:p>
    <w:p w:rsidR="00543826" w:rsidRDefault="00B60ADD">
      <w:pPr>
        <w:rPr>
          <w:iCs/>
        </w:rPr>
      </w:pPr>
      <w:r w:rsidRPr="008C1C01">
        <w:t>"Rent reasonableness" means that the total rent charged for a unit must be reasonable in relation to the rents being charged for comparable units in the private unassisted market during the same time period</w:t>
      </w:r>
      <w:r w:rsidR="00A0746C" w:rsidRPr="008C1C01">
        <w:t xml:space="preserve">. </w:t>
      </w:r>
      <w:r w:rsidR="00743CC1" w:rsidRPr="008C1C01">
        <w:rPr>
          <w:iCs/>
        </w:rPr>
        <w:t xml:space="preserve">A </w:t>
      </w:r>
      <w:r w:rsidR="009D5BCA" w:rsidRPr="008C1C01">
        <w:rPr>
          <w:iCs/>
        </w:rPr>
        <w:t>Lead/Sub G</w:t>
      </w:r>
      <w:r w:rsidR="00743CC1" w:rsidRPr="008C1C01">
        <w:rPr>
          <w:iCs/>
        </w:rPr>
        <w:t xml:space="preserve">rantee must determine and document rent reasonableness for all units </w:t>
      </w:r>
    </w:p>
    <w:p w:rsidR="00AD74F7" w:rsidRPr="00535941" w:rsidRDefault="00743CC1" w:rsidP="00AD74F7">
      <w:pPr>
        <w:pStyle w:val="NormalWeb"/>
        <w:spacing w:before="0" w:beforeAutospacing="0" w:after="0" w:afterAutospacing="0"/>
      </w:pPr>
      <w:r w:rsidRPr="008C1C01">
        <w:rPr>
          <w:iCs/>
        </w:rPr>
        <w:t>for which CHG assistance (including arrears) is provided</w:t>
      </w:r>
      <w:r w:rsidR="00832549">
        <w:rPr>
          <w:iCs/>
        </w:rPr>
        <w:t xml:space="preserve">. </w:t>
      </w:r>
      <w:r w:rsidR="00AD74F7">
        <w:rPr>
          <w:iCs/>
        </w:rPr>
        <w:t xml:space="preserve">  </w:t>
      </w:r>
      <w:r w:rsidR="00AD74F7" w:rsidRPr="00A76741">
        <w:rPr>
          <w:iCs/>
        </w:rPr>
        <w:t xml:space="preserve">Rent Reasonableness </w:t>
      </w:r>
      <w:r w:rsidR="00AD74F7" w:rsidRPr="00A76741">
        <w:t>must be completed before the subsidy is paid.</w:t>
      </w:r>
    </w:p>
    <w:p w:rsidR="006E5C13" w:rsidRDefault="006E5C13">
      <w:pPr>
        <w:rPr>
          <w:iCs/>
        </w:rPr>
      </w:pPr>
    </w:p>
    <w:p w:rsidR="00337585" w:rsidRDefault="00743CC1">
      <w:pPr>
        <w:rPr>
          <w:iCs/>
        </w:rPr>
      </w:pPr>
      <w:r w:rsidRPr="008C1C01">
        <w:rPr>
          <w:iCs/>
        </w:rPr>
        <w:t>This requirement applies when participants are moving into units a</w:t>
      </w:r>
      <w:r w:rsidR="007A4930" w:rsidRPr="008C1C01">
        <w:rPr>
          <w:iCs/>
        </w:rPr>
        <w:t>nd when there is a current lease</w:t>
      </w:r>
      <w:r w:rsidRPr="008C1C01">
        <w:rPr>
          <w:iCs/>
        </w:rPr>
        <w:t xml:space="preserve"> in place.</w:t>
      </w:r>
    </w:p>
    <w:p w:rsidR="006E5C13" w:rsidRDefault="006E5C13">
      <w:pPr>
        <w:rPr>
          <w:iCs/>
        </w:rPr>
      </w:pPr>
    </w:p>
    <w:p w:rsidR="00310989" w:rsidRDefault="006E5C13">
      <w:pPr>
        <w:rPr>
          <w:iCs/>
        </w:rPr>
      </w:pPr>
      <w:r>
        <w:rPr>
          <w:iCs/>
        </w:rPr>
        <w:t xml:space="preserve">Rent reasonableness </w:t>
      </w:r>
      <w:r w:rsidR="00310989">
        <w:rPr>
          <w:iCs/>
        </w:rPr>
        <w:t>determined from other homeless program</w:t>
      </w:r>
      <w:r w:rsidR="000D5B56">
        <w:rPr>
          <w:iCs/>
        </w:rPr>
        <w:t>s</w:t>
      </w:r>
      <w:r w:rsidR="00310989">
        <w:rPr>
          <w:iCs/>
        </w:rPr>
        <w:t xml:space="preserve"> is allowable</w:t>
      </w:r>
      <w:r w:rsidR="000D5B56">
        <w:rPr>
          <w:iCs/>
        </w:rPr>
        <w:t xml:space="preserve"> and must be</w:t>
      </w:r>
      <w:r w:rsidR="00310989">
        <w:rPr>
          <w:iCs/>
        </w:rPr>
        <w:t xml:space="preserve"> d</w:t>
      </w:r>
      <w:r w:rsidR="000D5B56">
        <w:rPr>
          <w:iCs/>
        </w:rPr>
        <w:t>ocumented and</w:t>
      </w:r>
      <w:r w:rsidR="00310989">
        <w:rPr>
          <w:iCs/>
        </w:rPr>
        <w:t xml:space="preserve"> kept in the client file.</w:t>
      </w:r>
    </w:p>
    <w:p w:rsidR="00310989" w:rsidRDefault="00310989">
      <w:pPr>
        <w:rPr>
          <w:iCs/>
        </w:rPr>
      </w:pPr>
    </w:p>
    <w:p w:rsidR="00A77F96" w:rsidRPr="00162B76" w:rsidRDefault="00227B39">
      <w:pPr>
        <w:rPr>
          <w:iCs/>
        </w:rPr>
      </w:pPr>
      <w:r w:rsidRPr="00162B76">
        <w:rPr>
          <w:iCs/>
        </w:rPr>
        <w:t>Lead/Sub Grantee</w:t>
      </w:r>
      <w:r w:rsidR="00A77F96" w:rsidRPr="00162B76">
        <w:rPr>
          <w:iCs/>
        </w:rPr>
        <w:t>s must establish rent reasonableness policies and/or procedures which include</w:t>
      </w:r>
      <w:r w:rsidR="000D5B56">
        <w:rPr>
          <w:iCs/>
        </w:rPr>
        <w:t>s</w:t>
      </w:r>
      <w:r w:rsidR="00A77F96" w:rsidRPr="00162B76">
        <w:rPr>
          <w:iCs/>
        </w:rPr>
        <w:t xml:space="preserve"> the</w:t>
      </w:r>
      <w:r w:rsidR="00531BAF" w:rsidRPr="00162B76">
        <w:rPr>
          <w:iCs/>
        </w:rPr>
        <w:t xml:space="preserve"> </w:t>
      </w:r>
      <w:r w:rsidR="00531BAF" w:rsidRPr="00162B76">
        <w:t>methodology for determination, documentation requirements, and strategies for addressing special circumstances.</w:t>
      </w:r>
      <w:r w:rsidR="00531BAF" w:rsidRPr="00162B76">
        <w:rPr>
          <w:color w:val="1F497D"/>
        </w:rPr>
        <w:t xml:space="preserve">  </w:t>
      </w:r>
      <w:r w:rsidR="00A77F96" w:rsidRPr="00162B76">
        <w:rPr>
          <w:iCs/>
        </w:rPr>
        <w:t xml:space="preserve"> </w:t>
      </w:r>
    </w:p>
    <w:p w:rsidR="00A77F96" w:rsidRPr="00162B76" w:rsidRDefault="00A77F96">
      <w:pPr>
        <w:rPr>
          <w:iCs/>
        </w:rPr>
      </w:pPr>
    </w:p>
    <w:p w:rsidR="00331487" w:rsidRDefault="005730A8" w:rsidP="0029260C">
      <w:pPr>
        <w:pStyle w:val="Header"/>
        <w:shd w:val="clear" w:color="auto" w:fill="FFFFFF" w:themeFill="background1"/>
        <w:tabs>
          <w:tab w:val="clear" w:pos="8640"/>
          <w:tab w:val="left" w:pos="1440"/>
          <w:tab w:val="left" w:pos="2880"/>
          <w:tab w:val="left" w:pos="5040"/>
          <w:tab w:val="left" w:pos="5760"/>
          <w:tab w:val="right" w:pos="8820"/>
        </w:tabs>
        <w:ind w:right="-180"/>
        <w:rPr>
          <w:b/>
          <w:iCs/>
        </w:rPr>
      </w:pPr>
      <w:r w:rsidRPr="00162B76">
        <w:t xml:space="preserve">See </w:t>
      </w:r>
      <w:r w:rsidR="00355E40">
        <w:t>Appendix D</w:t>
      </w:r>
      <w:r w:rsidRPr="00734585">
        <w:t xml:space="preserve"> for</w:t>
      </w:r>
      <w:r w:rsidRPr="00162B76">
        <w:t xml:space="preserve"> </w:t>
      </w:r>
      <w:r w:rsidR="00C5178C" w:rsidRPr="00162B76">
        <w:t xml:space="preserve">sample </w:t>
      </w:r>
      <w:r w:rsidR="00337585" w:rsidRPr="00162B76">
        <w:rPr>
          <w:i/>
        </w:rPr>
        <w:t>forms</w:t>
      </w:r>
      <w:r w:rsidR="00337585" w:rsidRPr="00162B76">
        <w:t xml:space="preserve"> and </w:t>
      </w:r>
      <w:r w:rsidRPr="00162B76">
        <w:t>specific</w:t>
      </w:r>
      <w:r w:rsidR="00B6377A" w:rsidRPr="00162B76">
        <w:t xml:space="preserve"> information</w:t>
      </w:r>
      <w:r w:rsidRPr="00162B76">
        <w:t xml:space="preserve"> on how to document Rent Reasonableness.</w:t>
      </w:r>
    </w:p>
    <w:p w:rsidR="009E3801" w:rsidRDefault="009E3801" w:rsidP="0029260C">
      <w:pPr>
        <w:pStyle w:val="Header"/>
        <w:shd w:val="clear" w:color="auto" w:fill="FFFFFF" w:themeFill="background1"/>
        <w:tabs>
          <w:tab w:val="clear" w:pos="8640"/>
          <w:tab w:val="left" w:pos="1440"/>
          <w:tab w:val="left" w:pos="2880"/>
          <w:tab w:val="left" w:pos="5040"/>
          <w:tab w:val="left" w:pos="5760"/>
          <w:tab w:val="right" w:pos="8820"/>
        </w:tabs>
        <w:ind w:right="-180"/>
        <w:rPr>
          <w:b/>
          <w:iCs/>
        </w:rPr>
      </w:pPr>
    </w:p>
    <w:p w:rsidR="001637C8" w:rsidRDefault="001637C8" w:rsidP="0029260C">
      <w:pPr>
        <w:pStyle w:val="Header"/>
        <w:shd w:val="clear" w:color="auto" w:fill="FFFFFF" w:themeFill="background1"/>
        <w:tabs>
          <w:tab w:val="clear" w:pos="8640"/>
          <w:tab w:val="left" w:pos="1440"/>
          <w:tab w:val="left" w:pos="2880"/>
          <w:tab w:val="left" w:pos="5040"/>
          <w:tab w:val="left" w:pos="5760"/>
          <w:tab w:val="right" w:pos="8820"/>
        </w:tabs>
        <w:ind w:right="-180"/>
        <w:rPr>
          <w:b/>
          <w:iCs/>
        </w:rPr>
      </w:pPr>
    </w:p>
    <w:p w:rsidR="001637C8" w:rsidRDefault="001637C8" w:rsidP="0029260C">
      <w:pPr>
        <w:pStyle w:val="Header"/>
        <w:shd w:val="clear" w:color="auto" w:fill="FFFFFF" w:themeFill="background1"/>
        <w:tabs>
          <w:tab w:val="clear" w:pos="8640"/>
          <w:tab w:val="left" w:pos="1440"/>
          <w:tab w:val="left" w:pos="2880"/>
          <w:tab w:val="left" w:pos="5040"/>
          <w:tab w:val="left" w:pos="5760"/>
          <w:tab w:val="right" w:pos="8820"/>
        </w:tabs>
        <w:ind w:right="-180"/>
        <w:rPr>
          <w:b/>
          <w:iCs/>
        </w:rPr>
      </w:pPr>
    </w:p>
    <w:p w:rsidR="008E0A38" w:rsidRPr="00882E28" w:rsidRDefault="00CA7193" w:rsidP="0029260C">
      <w:pPr>
        <w:pStyle w:val="Header"/>
        <w:shd w:val="clear" w:color="auto" w:fill="FFFFFF" w:themeFill="background1"/>
        <w:tabs>
          <w:tab w:val="clear" w:pos="8640"/>
          <w:tab w:val="left" w:pos="1440"/>
          <w:tab w:val="left" w:pos="2880"/>
          <w:tab w:val="left" w:pos="5040"/>
          <w:tab w:val="left" w:pos="5760"/>
          <w:tab w:val="right" w:pos="8820"/>
        </w:tabs>
        <w:ind w:right="-180"/>
        <w:rPr>
          <w:b/>
          <w:iCs/>
        </w:rPr>
      </w:pPr>
      <w:r w:rsidRPr="00882E28">
        <w:rPr>
          <w:b/>
          <w:iCs/>
        </w:rPr>
        <w:lastRenderedPageBreak/>
        <w:t>R</w:t>
      </w:r>
      <w:r w:rsidR="008E0A38" w:rsidRPr="00882E28">
        <w:rPr>
          <w:b/>
          <w:iCs/>
        </w:rPr>
        <w:t>ent Limit/Payment Standard</w:t>
      </w:r>
    </w:p>
    <w:p w:rsidR="000458D3" w:rsidRDefault="005730A8" w:rsidP="008E0A38">
      <w:pPr>
        <w:pStyle w:val="Header"/>
        <w:tabs>
          <w:tab w:val="left" w:pos="720"/>
        </w:tabs>
      </w:pPr>
      <w:r w:rsidRPr="00527516">
        <w:t>In conjunction with determining Rent Reasonableness, the Lead/Sub G</w:t>
      </w:r>
      <w:r w:rsidR="008E0A38" w:rsidRPr="00527516">
        <w:t>rantee must set a Rent Limit/</w:t>
      </w:r>
      <w:r w:rsidR="008E0A38" w:rsidRPr="00527516">
        <w:rPr>
          <w:iCs/>
        </w:rPr>
        <w:t>Payment Standard</w:t>
      </w:r>
      <w:r w:rsidR="008E0A38" w:rsidRPr="00527516">
        <w:t xml:space="preserve"> for each unit size based on the number of bedrooms. </w:t>
      </w:r>
      <w:r w:rsidRPr="00527516">
        <w:t>(Rent Reasonablenes</w:t>
      </w:r>
      <w:r w:rsidR="007A4930" w:rsidRPr="00527516">
        <w:t>s helps determine the market</w:t>
      </w:r>
      <w:r w:rsidRPr="00527516">
        <w:t xml:space="preserve"> rate, and the Rent Limit </w:t>
      </w:r>
      <w:r w:rsidRPr="009E1F26">
        <w:t>set</w:t>
      </w:r>
      <w:r w:rsidR="00A31962" w:rsidRPr="009E1F26">
        <w:t>s</w:t>
      </w:r>
      <w:r w:rsidRPr="009E1F26">
        <w:t xml:space="preserve"> a</w:t>
      </w:r>
      <w:r w:rsidR="00543826" w:rsidRPr="009E1F26">
        <w:t xml:space="preserve"> limit</w:t>
      </w:r>
      <w:r w:rsidR="00543826" w:rsidRPr="00527516">
        <w:t xml:space="preserve"> </w:t>
      </w:r>
      <w:r w:rsidR="009E1F26">
        <w:t xml:space="preserve">for what </w:t>
      </w:r>
      <w:r w:rsidR="00543826" w:rsidRPr="00527516">
        <w:t xml:space="preserve">will </w:t>
      </w:r>
      <w:r w:rsidR="009E1F26">
        <w:t>be paid</w:t>
      </w:r>
      <w:r w:rsidR="00543826" w:rsidRPr="00527516">
        <w:t xml:space="preserve">.) </w:t>
      </w:r>
      <w:r w:rsidR="00CA7193" w:rsidRPr="00527516">
        <w:t>The standard</w:t>
      </w:r>
      <w:r w:rsidR="008E0A38" w:rsidRPr="00527516">
        <w:t xml:space="preserve"> is intended to represent the cost (rent and utilities) in the </w:t>
      </w:r>
      <w:r w:rsidRPr="00527516">
        <w:t>Lead/Sub G</w:t>
      </w:r>
      <w:r w:rsidR="008E0A38" w:rsidRPr="00527516">
        <w:t>rantee’s jurisdiction of moderately priced units.</w:t>
      </w:r>
      <w:r w:rsidR="000458D3">
        <w:t xml:space="preserve">  </w:t>
      </w:r>
    </w:p>
    <w:p w:rsidR="000458D3" w:rsidRDefault="000458D3" w:rsidP="008E0A38">
      <w:pPr>
        <w:pStyle w:val="Header"/>
        <w:tabs>
          <w:tab w:val="left" w:pos="720"/>
        </w:tabs>
      </w:pPr>
    </w:p>
    <w:p w:rsidR="008E0A38" w:rsidRDefault="006256D1" w:rsidP="008E0A38">
      <w:pPr>
        <w:pStyle w:val="Header"/>
        <w:tabs>
          <w:tab w:val="left" w:pos="720"/>
        </w:tabs>
      </w:pPr>
      <w:hyperlink r:id="rId17" w:history="1">
        <w:r w:rsidR="00CA7193" w:rsidRPr="00EB37AB">
          <w:rPr>
            <w:rStyle w:val="Hyperlink"/>
          </w:rPr>
          <w:t>HUD’s</w:t>
        </w:r>
        <w:r w:rsidR="008E0A38" w:rsidRPr="00EB37AB">
          <w:rPr>
            <w:rStyle w:val="Hyperlink"/>
          </w:rPr>
          <w:t xml:space="preserve"> </w:t>
        </w:r>
        <w:r w:rsidR="00CA7193" w:rsidRPr="00EB37AB">
          <w:rPr>
            <w:rStyle w:val="Hyperlink"/>
          </w:rPr>
          <w:t>Fai</w:t>
        </w:r>
        <w:r w:rsidR="008E0A38" w:rsidRPr="00EB37AB">
          <w:rPr>
            <w:rStyle w:val="Hyperlink"/>
          </w:rPr>
          <w:t>r Market Rent (FMR)</w:t>
        </w:r>
      </w:hyperlink>
      <w:r w:rsidR="00EB37AB">
        <w:t xml:space="preserve"> </w:t>
      </w:r>
      <w:r w:rsidR="00B0417C">
        <w:t xml:space="preserve">is </w:t>
      </w:r>
      <w:r w:rsidR="00EB37AB">
        <w:t xml:space="preserve">a </w:t>
      </w:r>
      <w:r w:rsidR="00B0417C">
        <w:t xml:space="preserve">common </w:t>
      </w:r>
      <w:r w:rsidR="004F47FF">
        <w:t xml:space="preserve">Rent Limit </w:t>
      </w:r>
      <w:r w:rsidR="00EB37AB">
        <w:t>guide</w:t>
      </w:r>
      <w:r w:rsidR="00B0417C">
        <w:t>line</w:t>
      </w:r>
      <w:r w:rsidR="00EB37AB">
        <w:t>.</w:t>
      </w:r>
      <w:r w:rsidR="008E0A38" w:rsidRPr="009F2B75">
        <w:t xml:space="preserve"> </w:t>
      </w:r>
    </w:p>
    <w:p w:rsidR="009801AB" w:rsidRDefault="009801AB" w:rsidP="008E0A38">
      <w:pPr>
        <w:pStyle w:val="Header"/>
        <w:tabs>
          <w:tab w:val="left" w:pos="720"/>
        </w:tabs>
      </w:pPr>
    </w:p>
    <w:p w:rsidR="008E0A38" w:rsidRPr="009F2B75" w:rsidRDefault="00A31962" w:rsidP="008E0A38">
      <w:pPr>
        <w:pStyle w:val="Header"/>
        <w:tabs>
          <w:tab w:val="left" w:pos="720"/>
        </w:tabs>
      </w:pPr>
      <w:r w:rsidRPr="00520055">
        <w:t xml:space="preserve">The maximum </w:t>
      </w:r>
      <w:r w:rsidR="008E0A38" w:rsidRPr="00520055">
        <w:t xml:space="preserve">amount of CHG funds that </w:t>
      </w:r>
      <w:r w:rsidRPr="00520055">
        <w:t xml:space="preserve">can be </w:t>
      </w:r>
      <w:r w:rsidR="008E0A38" w:rsidRPr="00520055">
        <w:t>used to subsidize a unit or a household</w:t>
      </w:r>
      <w:r w:rsidRPr="00520055">
        <w:t xml:space="preserve"> is 120</w:t>
      </w:r>
      <w:r w:rsidR="00527516" w:rsidRPr="00520055">
        <w:t xml:space="preserve"> percent</w:t>
      </w:r>
      <w:r w:rsidRPr="00520055">
        <w:t xml:space="preserve"> of HUD’s FMR</w:t>
      </w:r>
      <w:r w:rsidR="008E0A38" w:rsidRPr="00520055">
        <w:t xml:space="preserve">. </w:t>
      </w:r>
      <w:r w:rsidR="005730A8" w:rsidRPr="00520055">
        <w:t>Lead</w:t>
      </w:r>
      <w:r w:rsidR="008E0A38" w:rsidRPr="00520055">
        <w:t>/</w:t>
      </w:r>
      <w:r w:rsidR="00652368" w:rsidRPr="00520055">
        <w:t>Sub Grantees</w:t>
      </w:r>
      <w:r w:rsidR="008E0A38" w:rsidRPr="00520055">
        <w:t xml:space="preserve"> may al</w:t>
      </w:r>
      <w:r w:rsidR="00543826" w:rsidRPr="00520055">
        <w:t>low rents to go higher than 120 percent</w:t>
      </w:r>
      <w:r w:rsidR="008E0A38" w:rsidRPr="00520055">
        <w:t xml:space="preserve"> of the</w:t>
      </w:r>
      <w:r w:rsidR="008E0A38" w:rsidRPr="009F2B75">
        <w:t xml:space="preserve"> FMR for the jurisdiction overall, however, CHG funds f</w:t>
      </w:r>
      <w:r w:rsidR="00543826" w:rsidRPr="009F2B75">
        <w:t>or that unit may not exceed 120 percent</w:t>
      </w:r>
      <w:r w:rsidR="008E0A38" w:rsidRPr="009F2B75">
        <w:t xml:space="preserve"> of the published FMR. If th</w:t>
      </w:r>
      <w:r w:rsidR="00543826" w:rsidRPr="009F2B75">
        <w:t>e rent limit is higher than 120 percent</w:t>
      </w:r>
      <w:r w:rsidR="008E0A38" w:rsidRPr="009F2B75">
        <w:t xml:space="preserve"> of FMR, the </w:t>
      </w:r>
      <w:r w:rsidR="005730A8" w:rsidRPr="009F2B75">
        <w:t>Lead/Sub G</w:t>
      </w:r>
      <w:r w:rsidR="008E0A38" w:rsidRPr="009F2B75">
        <w:t>rantee must ensure that resources from other entities (not from enrolled households) are available to cover the additional cost of a high-cost unit.</w:t>
      </w:r>
    </w:p>
    <w:p w:rsidR="008E0A38" w:rsidRPr="009F2B75" w:rsidRDefault="008E0A38" w:rsidP="008E0A38">
      <w:pPr>
        <w:pStyle w:val="Header"/>
        <w:tabs>
          <w:tab w:val="left" w:pos="720"/>
        </w:tabs>
        <w:rPr>
          <w:sz w:val="20"/>
          <w:szCs w:val="20"/>
        </w:rPr>
      </w:pPr>
    </w:p>
    <w:p w:rsidR="008E0A38" w:rsidRPr="00274D6C" w:rsidRDefault="008E0A38" w:rsidP="008E0A38">
      <w:pPr>
        <w:pStyle w:val="Header"/>
        <w:tabs>
          <w:tab w:val="left" w:pos="720"/>
        </w:tabs>
      </w:pPr>
      <w:r w:rsidRPr="009F2B75">
        <w:t xml:space="preserve">With its own knowledge of market conditions and possibly consulting with local housing authorities who have valuable information about the relationship between actual market rents and the published FMRs, the </w:t>
      </w:r>
      <w:r w:rsidR="005730A8" w:rsidRPr="009F2B75">
        <w:t>Lead/Sub G</w:t>
      </w:r>
      <w:r w:rsidRPr="009F2B75">
        <w:t>rantee may set the Rent Limit/</w:t>
      </w:r>
      <w:r w:rsidRPr="009F2B75">
        <w:rPr>
          <w:iCs/>
        </w:rPr>
        <w:t>Payment Standard</w:t>
      </w:r>
      <w:r w:rsidRPr="009F2B75">
        <w:t xml:space="preserve"> anywhere within these parameters.</w:t>
      </w:r>
      <w:r w:rsidRPr="00274D6C">
        <w:t xml:space="preserve"> </w:t>
      </w:r>
    </w:p>
    <w:p w:rsidR="00F0670F" w:rsidRPr="00162B76" w:rsidRDefault="00330E17" w:rsidP="00F0670F">
      <w:pPr>
        <w:pStyle w:val="NormalWeb"/>
        <w:spacing w:after="0" w:afterAutospacing="0"/>
        <w:rPr>
          <w:b/>
        </w:rPr>
      </w:pPr>
      <w:r w:rsidRPr="00162B76">
        <w:rPr>
          <w:b/>
        </w:rPr>
        <w:t>Housing Inspections</w:t>
      </w:r>
    </w:p>
    <w:p w:rsidR="00B77A70" w:rsidRDefault="00330E17" w:rsidP="00F0670F">
      <w:pPr>
        <w:pStyle w:val="NormalWeb"/>
        <w:spacing w:before="0" w:beforeAutospacing="0" w:after="0" w:afterAutospacing="0"/>
      </w:pPr>
      <w:r w:rsidRPr="00162B76">
        <w:t>Lead/Sub Grant</w:t>
      </w:r>
      <w:r w:rsidR="00162B76" w:rsidRPr="00162B76">
        <w:t xml:space="preserve">ees providing rental assistance </w:t>
      </w:r>
      <w:r w:rsidR="00D97454" w:rsidRPr="00162B76">
        <w:t xml:space="preserve">are </w:t>
      </w:r>
      <w:r w:rsidRPr="00162B76">
        <w:t xml:space="preserve">required to conduct initial inspections of housing units </w:t>
      </w:r>
      <w:r w:rsidRPr="00162B76">
        <w:rPr>
          <w:u w:val="single"/>
        </w:rPr>
        <w:t>into which a household will be moving</w:t>
      </w:r>
      <w:r w:rsidRPr="00162B76">
        <w:t>.</w:t>
      </w:r>
      <w:r w:rsidR="00162B76" w:rsidRPr="00162B76">
        <w:t xml:space="preserve"> </w:t>
      </w:r>
      <w:r w:rsidRPr="00162B76">
        <w:t xml:space="preserve"> Housing inspections are not required for households already living in a unit prior to receiving assistance. However, lead-based paint visual inspections may be required (see Lead-Based Paint Inspections below).</w:t>
      </w:r>
    </w:p>
    <w:p w:rsidR="007F352D" w:rsidRPr="00162B76" w:rsidRDefault="007F352D" w:rsidP="00F0670F">
      <w:pPr>
        <w:pStyle w:val="NormalWeb"/>
        <w:spacing w:before="0" w:beforeAutospacing="0" w:after="0" w:afterAutospacing="0"/>
      </w:pPr>
    </w:p>
    <w:p w:rsidR="00B77A70" w:rsidRPr="00535941" w:rsidRDefault="00330E17" w:rsidP="00760B91">
      <w:pPr>
        <w:pStyle w:val="NormalWeb"/>
        <w:numPr>
          <w:ilvl w:val="0"/>
          <w:numId w:val="14"/>
        </w:numPr>
        <w:spacing w:before="0" w:beforeAutospacing="0" w:after="0" w:afterAutospacing="0"/>
      </w:pPr>
      <w:r w:rsidRPr="00535941">
        <w:t>The unit must pass inspection before the subsidy is paid.</w:t>
      </w:r>
    </w:p>
    <w:p w:rsidR="007F352D" w:rsidRPr="00331487" w:rsidRDefault="007F352D" w:rsidP="007F352D">
      <w:pPr>
        <w:pStyle w:val="NormalWeb"/>
        <w:spacing w:before="0" w:beforeAutospacing="0" w:after="0" w:afterAutospacing="0"/>
        <w:ind w:left="720"/>
        <w:rPr>
          <w:sz w:val="16"/>
          <w:szCs w:val="16"/>
        </w:rPr>
      </w:pPr>
    </w:p>
    <w:p w:rsidR="00B77A70" w:rsidRPr="00535941" w:rsidRDefault="00330E17" w:rsidP="00760B91">
      <w:pPr>
        <w:pStyle w:val="NormalWeb"/>
        <w:numPr>
          <w:ilvl w:val="0"/>
          <w:numId w:val="14"/>
        </w:numPr>
        <w:spacing w:before="0" w:beforeAutospacing="0" w:after="0" w:afterAutospacing="0"/>
      </w:pPr>
      <w:r w:rsidRPr="00535941">
        <w:t>Inspections less than 12 months old performed by other housing providers can be used.</w:t>
      </w:r>
    </w:p>
    <w:p w:rsidR="007F352D" w:rsidRPr="00331487" w:rsidRDefault="007F352D" w:rsidP="007F352D">
      <w:pPr>
        <w:pStyle w:val="ListParagraph"/>
        <w:rPr>
          <w:sz w:val="16"/>
          <w:szCs w:val="16"/>
        </w:rPr>
      </w:pPr>
    </w:p>
    <w:p w:rsidR="00B77A70" w:rsidRPr="00535941" w:rsidRDefault="00330E17" w:rsidP="00760B91">
      <w:pPr>
        <w:pStyle w:val="ListParagraph"/>
        <w:numPr>
          <w:ilvl w:val="0"/>
          <w:numId w:val="14"/>
        </w:numPr>
      </w:pPr>
      <w:r w:rsidRPr="00535941">
        <w:t>Complete records of inspections and follow-up actions must be maintained in the household file.</w:t>
      </w:r>
    </w:p>
    <w:p w:rsidR="007F352D" w:rsidRDefault="007F352D" w:rsidP="007F352D">
      <w:pPr>
        <w:pStyle w:val="NormalWeb"/>
        <w:spacing w:before="0" w:beforeAutospacing="0" w:after="0" w:afterAutospacing="0"/>
      </w:pPr>
    </w:p>
    <w:p w:rsidR="00B77A70" w:rsidRPr="00162B76" w:rsidRDefault="00330E17" w:rsidP="007F352D">
      <w:pPr>
        <w:pStyle w:val="NormalWeb"/>
        <w:spacing w:before="0" w:beforeAutospacing="0" w:after="0" w:afterAutospacing="0"/>
      </w:pPr>
      <w:r w:rsidRPr="00162B76">
        <w:t xml:space="preserve">Lead/Sub Grantees may adopt the </w:t>
      </w:r>
      <w:hyperlink r:id="rId18" w:history="1">
        <w:r w:rsidR="00EA13BD" w:rsidRPr="00162B76">
          <w:rPr>
            <w:rStyle w:val="Hyperlink"/>
            <w:iCs/>
          </w:rPr>
          <w:t>HUD Housing Quality Standards</w:t>
        </w:r>
        <w:r w:rsidRPr="00162B76">
          <w:rPr>
            <w:rStyle w:val="Hyperlink"/>
          </w:rPr>
          <w:t xml:space="preserve"> (HQS)</w:t>
        </w:r>
      </w:hyperlink>
      <w:r w:rsidRPr="00162B76">
        <w:t xml:space="preserve"> inspection procedures or the Commerce </w:t>
      </w:r>
      <w:r w:rsidRPr="00162B76">
        <w:rPr>
          <w:iCs/>
        </w:rPr>
        <w:t xml:space="preserve">Housing </w:t>
      </w:r>
      <w:r w:rsidR="00A85605">
        <w:rPr>
          <w:iCs/>
        </w:rPr>
        <w:t>Habitability</w:t>
      </w:r>
      <w:r w:rsidRPr="00162B76">
        <w:rPr>
          <w:iCs/>
        </w:rPr>
        <w:t xml:space="preserve"> Standards</w:t>
      </w:r>
      <w:r w:rsidR="00A85605">
        <w:t xml:space="preserve"> (HH</w:t>
      </w:r>
      <w:r w:rsidRPr="00162B76">
        <w:t>S) procedures.  If HQS is adopted, inspectors must be certified.</w:t>
      </w:r>
    </w:p>
    <w:p w:rsidR="00B77A70" w:rsidRDefault="00330E17" w:rsidP="008E0810">
      <w:pPr>
        <w:pStyle w:val="NormalWeb"/>
      </w:pPr>
      <w:r w:rsidRPr="00162B76">
        <w:t xml:space="preserve">Commerce does not exempt units from having to be compliant with local housing codes. Therefore, if there are requirements that are in both the local housing code and HQS or </w:t>
      </w:r>
      <w:r w:rsidR="00342961">
        <w:t>HHS</w:t>
      </w:r>
      <w:r w:rsidRPr="00162B76">
        <w:t>, the Lead/Sub Grantee must comply with the more stringent of the two.</w:t>
      </w:r>
      <w:r w:rsidR="00794083">
        <w:t xml:space="preserve"> Housing inspections must be </w:t>
      </w:r>
      <w:r w:rsidR="00794083" w:rsidRPr="00162B76">
        <w:t xml:space="preserve">documented </w:t>
      </w:r>
      <w:r w:rsidR="005D499E">
        <w:t>by</w:t>
      </w:r>
      <w:r w:rsidR="00794083" w:rsidRPr="00162B76">
        <w:t xml:space="preserve"> the HQS or </w:t>
      </w:r>
      <w:r w:rsidR="00342961">
        <w:t>HHS</w:t>
      </w:r>
      <w:r w:rsidR="00794083" w:rsidRPr="00162B76">
        <w:t xml:space="preserve"> and maintained in the client file.</w:t>
      </w:r>
    </w:p>
    <w:p w:rsidR="00B77A70" w:rsidRPr="00162B76" w:rsidRDefault="00330E17" w:rsidP="00F0670F">
      <w:pPr>
        <w:pStyle w:val="NormalWeb"/>
        <w:spacing w:after="0" w:afterAutospacing="0"/>
        <w:rPr>
          <w:b/>
        </w:rPr>
      </w:pPr>
      <w:r w:rsidRPr="00162B76">
        <w:rPr>
          <w:b/>
        </w:rPr>
        <w:t xml:space="preserve">Lead-Based Paint </w:t>
      </w:r>
      <w:r w:rsidR="00DD71F5">
        <w:rPr>
          <w:b/>
        </w:rPr>
        <w:t>Visual Assessments</w:t>
      </w:r>
      <w:r w:rsidR="00B33CFC" w:rsidRPr="00162B76">
        <w:rPr>
          <w:b/>
        </w:rPr>
        <w:t xml:space="preserve"> </w:t>
      </w:r>
    </w:p>
    <w:p w:rsidR="00B77A70" w:rsidRPr="00162B76" w:rsidRDefault="00330E17" w:rsidP="00B77A70">
      <w:pPr>
        <w:autoSpaceDE w:val="0"/>
        <w:autoSpaceDN w:val="0"/>
        <w:adjustRightInd w:val="0"/>
      </w:pPr>
      <w:r w:rsidRPr="00162B76">
        <w:t>The lead</w:t>
      </w:r>
      <w:r w:rsidRPr="00162B76">
        <w:rPr>
          <w:rFonts w:ascii="Calibri" w:hAnsi="Calibri"/>
        </w:rPr>
        <w:t>‐</w:t>
      </w:r>
      <w:r w:rsidRPr="00162B76">
        <w:t xml:space="preserve">based paint </w:t>
      </w:r>
      <w:r w:rsidR="00DD71F5">
        <w:t>visual assessment</w:t>
      </w:r>
      <w:r w:rsidRPr="00162B76">
        <w:t xml:space="preserve"> requirement exists to protect vulnerable families from potential health hazards. To prevent lead</w:t>
      </w:r>
      <w:r w:rsidRPr="00162B76">
        <w:rPr>
          <w:rFonts w:ascii="Calibri" w:hAnsi="Calibri"/>
        </w:rPr>
        <w:t>‐</w:t>
      </w:r>
      <w:r w:rsidRPr="00162B76">
        <w:t xml:space="preserve">poisoning in young children, Lead/Sub Grantees must </w:t>
      </w:r>
      <w:r w:rsidRPr="00162B76">
        <w:lastRenderedPageBreak/>
        <w:t>comply with the Lead</w:t>
      </w:r>
      <w:r w:rsidRPr="00162B76">
        <w:rPr>
          <w:rFonts w:ascii="Calibri" w:hAnsi="Calibri"/>
        </w:rPr>
        <w:t>‐</w:t>
      </w:r>
      <w:r w:rsidRPr="00162B76">
        <w:t xml:space="preserve">Based Paint Poisoning Prevention Act of 1973 and its applicable regulations found at 24 CFR 35, Parts A, B, M, and R. </w:t>
      </w:r>
    </w:p>
    <w:p w:rsidR="00B60C11" w:rsidRDefault="00B60C11" w:rsidP="00B77A70">
      <w:pPr>
        <w:autoSpaceDE w:val="0"/>
        <w:autoSpaceDN w:val="0"/>
        <w:adjustRightInd w:val="0"/>
      </w:pPr>
    </w:p>
    <w:p w:rsidR="00B77A70" w:rsidRPr="00162B76" w:rsidRDefault="00330E17" w:rsidP="00B77A70">
      <w:pPr>
        <w:autoSpaceDE w:val="0"/>
        <w:autoSpaceDN w:val="0"/>
        <w:adjustRightInd w:val="0"/>
      </w:pPr>
      <w:r w:rsidRPr="00162B76">
        <w:t>A lead</w:t>
      </w:r>
      <w:r w:rsidRPr="00162B76">
        <w:rPr>
          <w:rFonts w:ascii="Calibri" w:hAnsi="Calibri"/>
        </w:rPr>
        <w:t>‐</w:t>
      </w:r>
      <w:r w:rsidRPr="00162B76">
        <w:t xml:space="preserve">based paint </w:t>
      </w:r>
      <w:r w:rsidRPr="00162B76">
        <w:rPr>
          <w:u w:val="single"/>
        </w:rPr>
        <w:t>visual assessment</w:t>
      </w:r>
      <w:r w:rsidRPr="00162B76">
        <w:t xml:space="preserve"> must be completed for all units that meet the three following conditions:</w:t>
      </w:r>
    </w:p>
    <w:p w:rsidR="00B77A70" w:rsidRPr="00162B76" w:rsidRDefault="00B77A70" w:rsidP="00B77A70">
      <w:pPr>
        <w:autoSpaceDE w:val="0"/>
        <w:autoSpaceDN w:val="0"/>
        <w:adjustRightInd w:val="0"/>
      </w:pPr>
    </w:p>
    <w:p w:rsidR="00B77A70" w:rsidRDefault="00330E17" w:rsidP="00EE51FF">
      <w:pPr>
        <w:numPr>
          <w:ilvl w:val="1"/>
          <w:numId w:val="11"/>
        </w:numPr>
        <w:tabs>
          <w:tab w:val="clear" w:pos="1440"/>
          <w:tab w:val="num" w:pos="720"/>
        </w:tabs>
        <w:autoSpaceDE w:val="0"/>
        <w:autoSpaceDN w:val="0"/>
        <w:adjustRightInd w:val="0"/>
        <w:ind w:left="720"/>
      </w:pPr>
      <w:r w:rsidRPr="00162B76">
        <w:t xml:space="preserve">The household </w:t>
      </w:r>
      <w:r w:rsidRPr="00162B76">
        <w:rPr>
          <w:u w:val="single"/>
        </w:rPr>
        <w:t>moving into or remaining in their current unit</w:t>
      </w:r>
      <w:r w:rsidRPr="00162B76">
        <w:t xml:space="preserve"> is being assisted with CHG rent/utility assistance</w:t>
      </w:r>
      <w:r w:rsidR="00E03AF2">
        <w:t>/facility support</w:t>
      </w:r>
      <w:r w:rsidRPr="00162B76">
        <w:t>.</w:t>
      </w:r>
    </w:p>
    <w:p w:rsidR="007F352D" w:rsidRPr="00331487" w:rsidRDefault="007F352D" w:rsidP="007F352D">
      <w:pPr>
        <w:autoSpaceDE w:val="0"/>
        <w:autoSpaceDN w:val="0"/>
        <w:adjustRightInd w:val="0"/>
        <w:ind w:left="720"/>
        <w:rPr>
          <w:sz w:val="16"/>
          <w:szCs w:val="16"/>
        </w:rPr>
      </w:pPr>
    </w:p>
    <w:p w:rsidR="00B77A70" w:rsidRPr="00162B76" w:rsidRDefault="00330E17" w:rsidP="00EE51FF">
      <w:pPr>
        <w:numPr>
          <w:ilvl w:val="1"/>
          <w:numId w:val="11"/>
        </w:numPr>
        <w:tabs>
          <w:tab w:val="clear" w:pos="1440"/>
          <w:tab w:val="num" w:pos="720"/>
        </w:tabs>
        <w:autoSpaceDE w:val="0"/>
        <w:autoSpaceDN w:val="0"/>
        <w:adjustRightInd w:val="0"/>
        <w:ind w:left="720"/>
      </w:pPr>
      <w:r w:rsidRPr="00162B76">
        <w:t xml:space="preserve"> The unit was constructed prior to 1978.</w:t>
      </w:r>
    </w:p>
    <w:p w:rsidR="007F352D" w:rsidRPr="00331487" w:rsidRDefault="007F352D" w:rsidP="007F352D">
      <w:pPr>
        <w:autoSpaceDE w:val="0"/>
        <w:autoSpaceDN w:val="0"/>
        <w:adjustRightInd w:val="0"/>
        <w:ind w:left="720"/>
        <w:rPr>
          <w:sz w:val="16"/>
          <w:szCs w:val="16"/>
        </w:rPr>
      </w:pPr>
    </w:p>
    <w:p w:rsidR="00B77A70" w:rsidRPr="00162B76" w:rsidRDefault="00330E17" w:rsidP="00EE51FF">
      <w:pPr>
        <w:numPr>
          <w:ilvl w:val="1"/>
          <w:numId w:val="11"/>
        </w:numPr>
        <w:tabs>
          <w:tab w:val="clear" w:pos="1440"/>
          <w:tab w:val="num" w:pos="720"/>
        </w:tabs>
        <w:autoSpaceDE w:val="0"/>
        <w:autoSpaceDN w:val="0"/>
        <w:adjustRightInd w:val="0"/>
        <w:ind w:left="720"/>
      </w:pPr>
      <w:r w:rsidRPr="00162B76">
        <w:t>A child under the age of six is or will be living in the unit.</w:t>
      </w:r>
    </w:p>
    <w:p w:rsidR="00B77A70" w:rsidRPr="00162B76" w:rsidRDefault="00B77A70" w:rsidP="00B77A70">
      <w:pPr>
        <w:autoSpaceDE w:val="0"/>
        <w:autoSpaceDN w:val="0"/>
        <w:adjustRightInd w:val="0"/>
      </w:pPr>
    </w:p>
    <w:p w:rsidR="00B77A70" w:rsidRPr="00162B76" w:rsidRDefault="00330E17" w:rsidP="00B77A70">
      <w:pPr>
        <w:autoSpaceDE w:val="0"/>
        <w:autoSpaceDN w:val="0"/>
        <w:adjustRightInd w:val="0"/>
      </w:pPr>
      <w:r w:rsidRPr="00162B76">
        <w:rPr>
          <w:color w:val="000000"/>
        </w:rPr>
        <w:t>A visual assessment must be conducted prior to providing CHG rent assistance to the unit and on an annual basis thereafter (as long as assistance is provided). Visual assessments must be conducted by a HUD</w:t>
      </w:r>
      <w:r w:rsidRPr="00162B76">
        <w:rPr>
          <w:rFonts w:ascii="Calibri" w:hAnsi="Calibri"/>
          <w:color w:val="000000"/>
        </w:rPr>
        <w:t>‐</w:t>
      </w:r>
      <w:r w:rsidRPr="00162B76">
        <w:rPr>
          <w:color w:val="000000"/>
        </w:rPr>
        <w:t xml:space="preserve">Certified Visual Assessor </w:t>
      </w:r>
      <w:r w:rsidR="004B01E5">
        <w:rPr>
          <w:color w:val="000000"/>
        </w:rPr>
        <w:t>(see Appendix E</w:t>
      </w:r>
      <w:r w:rsidRPr="00162B76">
        <w:rPr>
          <w:color w:val="000000"/>
        </w:rPr>
        <w:t xml:space="preserve">), </w:t>
      </w:r>
      <w:r w:rsidRPr="00162B76">
        <w:t xml:space="preserve">and must be documented on the HQS or </w:t>
      </w:r>
      <w:r w:rsidR="00342961">
        <w:t>HHS</w:t>
      </w:r>
      <w:r w:rsidRPr="00162B76">
        <w:t xml:space="preserve"> and maintained in the client file.</w:t>
      </w:r>
    </w:p>
    <w:p w:rsidR="00B77A70" w:rsidRPr="00162B76" w:rsidRDefault="00B77A70" w:rsidP="00B77A70">
      <w:pPr>
        <w:autoSpaceDE w:val="0"/>
        <w:autoSpaceDN w:val="0"/>
        <w:adjustRightInd w:val="0"/>
      </w:pPr>
    </w:p>
    <w:p w:rsidR="00B77A70" w:rsidRPr="00162B76" w:rsidRDefault="00330E17" w:rsidP="00B77A70">
      <w:pPr>
        <w:autoSpaceDE w:val="0"/>
        <w:autoSpaceDN w:val="0"/>
        <w:adjustRightInd w:val="0"/>
        <w:rPr>
          <w:b/>
          <w:bCs/>
        </w:rPr>
      </w:pPr>
      <w:r w:rsidRPr="00162B76">
        <w:rPr>
          <w:b/>
          <w:bCs/>
        </w:rPr>
        <w:t xml:space="preserve">Exceptions to the </w:t>
      </w:r>
      <w:r w:rsidR="00CF4E0C" w:rsidRPr="00162B76">
        <w:rPr>
          <w:b/>
          <w:bCs/>
        </w:rPr>
        <w:t xml:space="preserve">Lead-Based Paint </w:t>
      </w:r>
      <w:r w:rsidR="00DD71F5">
        <w:rPr>
          <w:b/>
          <w:bCs/>
        </w:rPr>
        <w:t>Visual Assessment</w:t>
      </w:r>
      <w:r w:rsidR="00CF4E0C" w:rsidRPr="00162B76">
        <w:rPr>
          <w:b/>
          <w:bCs/>
        </w:rPr>
        <w:t xml:space="preserve"> </w:t>
      </w:r>
      <w:r w:rsidRPr="00162B76">
        <w:rPr>
          <w:b/>
          <w:bCs/>
        </w:rPr>
        <w:t>Requirement</w:t>
      </w:r>
    </w:p>
    <w:p w:rsidR="00B77A70" w:rsidRPr="00162B76" w:rsidRDefault="00330E17" w:rsidP="00B77A70">
      <w:pPr>
        <w:autoSpaceDE w:val="0"/>
        <w:autoSpaceDN w:val="0"/>
        <w:adjustRightInd w:val="0"/>
      </w:pPr>
      <w:r w:rsidRPr="00162B76">
        <w:t>There are certain exceptions to the requirement. Visual assessments are not triggered under the following circumstances:</w:t>
      </w:r>
    </w:p>
    <w:p w:rsidR="00B77A70" w:rsidRPr="00162B76" w:rsidRDefault="00B77A70" w:rsidP="00B77A70">
      <w:pPr>
        <w:autoSpaceDE w:val="0"/>
        <w:autoSpaceDN w:val="0"/>
        <w:adjustRightInd w:val="0"/>
      </w:pPr>
    </w:p>
    <w:p w:rsidR="00B77A70" w:rsidRPr="00162B76" w:rsidRDefault="00330E17" w:rsidP="00760B91">
      <w:pPr>
        <w:pStyle w:val="ListParagraph"/>
        <w:numPr>
          <w:ilvl w:val="0"/>
          <w:numId w:val="21"/>
        </w:numPr>
        <w:autoSpaceDE w:val="0"/>
        <w:autoSpaceDN w:val="0"/>
        <w:adjustRightInd w:val="0"/>
      </w:pPr>
      <w:r w:rsidRPr="00162B76">
        <w:t>It is a zero</w:t>
      </w:r>
      <w:r w:rsidRPr="00162B76">
        <w:rPr>
          <w:rFonts w:ascii="Calibri" w:hAnsi="Calibri"/>
        </w:rPr>
        <w:t>‐</w:t>
      </w:r>
      <w:r w:rsidRPr="00162B76">
        <w:t>bedroom or SRO</w:t>
      </w:r>
      <w:r w:rsidRPr="00162B76">
        <w:rPr>
          <w:rFonts w:ascii="Calibri" w:hAnsi="Calibri"/>
        </w:rPr>
        <w:t>‐</w:t>
      </w:r>
      <w:r w:rsidRPr="00162B76">
        <w:t>sized unit;</w:t>
      </w:r>
    </w:p>
    <w:p w:rsidR="00B77A70" w:rsidRPr="00331487" w:rsidRDefault="00B77A70" w:rsidP="00B77A70">
      <w:pPr>
        <w:autoSpaceDE w:val="0"/>
        <w:autoSpaceDN w:val="0"/>
        <w:adjustRightInd w:val="0"/>
        <w:ind w:left="720"/>
        <w:rPr>
          <w:sz w:val="16"/>
          <w:szCs w:val="16"/>
        </w:rPr>
      </w:pPr>
    </w:p>
    <w:p w:rsidR="00B77A70" w:rsidRPr="00162B76" w:rsidRDefault="00330E17" w:rsidP="00760B91">
      <w:pPr>
        <w:pStyle w:val="ListParagraph"/>
        <w:numPr>
          <w:ilvl w:val="0"/>
          <w:numId w:val="21"/>
        </w:numPr>
        <w:autoSpaceDE w:val="0"/>
        <w:autoSpaceDN w:val="0"/>
        <w:adjustRightInd w:val="0"/>
      </w:pPr>
      <w:r w:rsidRPr="00162B76">
        <w:t>X</w:t>
      </w:r>
      <w:r w:rsidRPr="00162B76">
        <w:rPr>
          <w:rFonts w:ascii="Calibri" w:hAnsi="Calibri"/>
        </w:rPr>
        <w:t>‐</w:t>
      </w:r>
      <w:r w:rsidRPr="00162B76">
        <w:t>ray or laboratory testing of all painted surfaces by certified personnel has been conducted in accordance with HUD regulations and the unit is officially certified to not contain lead</w:t>
      </w:r>
      <w:r w:rsidRPr="00162B76">
        <w:rPr>
          <w:rFonts w:ascii="Calibri" w:hAnsi="Calibri"/>
        </w:rPr>
        <w:t>‐</w:t>
      </w:r>
      <w:r w:rsidRPr="00162B76">
        <w:t>based paint;</w:t>
      </w:r>
    </w:p>
    <w:p w:rsidR="00B77A70" w:rsidRPr="00331487" w:rsidRDefault="00B77A70" w:rsidP="00B77A70">
      <w:pPr>
        <w:autoSpaceDE w:val="0"/>
        <w:autoSpaceDN w:val="0"/>
        <w:adjustRightInd w:val="0"/>
        <w:ind w:left="720"/>
        <w:rPr>
          <w:sz w:val="16"/>
          <w:szCs w:val="16"/>
        </w:rPr>
      </w:pPr>
    </w:p>
    <w:p w:rsidR="00B77A70" w:rsidRPr="00162B76" w:rsidRDefault="00330E17" w:rsidP="00760B91">
      <w:pPr>
        <w:pStyle w:val="ListParagraph"/>
        <w:numPr>
          <w:ilvl w:val="0"/>
          <w:numId w:val="21"/>
        </w:numPr>
        <w:autoSpaceDE w:val="0"/>
        <w:autoSpaceDN w:val="0"/>
        <w:adjustRightInd w:val="0"/>
      </w:pPr>
      <w:r w:rsidRPr="00162B76">
        <w:t>The property has had all lead</w:t>
      </w:r>
      <w:r w:rsidRPr="00162B76">
        <w:rPr>
          <w:rFonts w:ascii="Calibri" w:hAnsi="Calibri"/>
        </w:rPr>
        <w:t>‐</w:t>
      </w:r>
      <w:r w:rsidRPr="00162B76">
        <w:t>based paint identified and removed in accordance with HUD regulations;</w:t>
      </w:r>
    </w:p>
    <w:p w:rsidR="00B77A70" w:rsidRPr="00331487" w:rsidRDefault="00B77A70" w:rsidP="00B77A70">
      <w:pPr>
        <w:pStyle w:val="ListParagraph"/>
        <w:rPr>
          <w:sz w:val="16"/>
          <w:szCs w:val="16"/>
        </w:rPr>
      </w:pPr>
    </w:p>
    <w:p w:rsidR="00B77A70" w:rsidRPr="00162B76" w:rsidRDefault="00330E17" w:rsidP="00760B91">
      <w:pPr>
        <w:pStyle w:val="ListParagraph"/>
        <w:numPr>
          <w:ilvl w:val="0"/>
          <w:numId w:val="21"/>
        </w:numPr>
        <w:autoSpaceDE w:val="0"/>
        <w:autoSpaceDN w:val="0"/>
        <w:adjustRightInd w:val="0"/>
      </w:pPr>
      <w:r w:rsidRPr="00162B76">
        <w:t>The unit has already undergone a visual assessment within the past 12 months –obtain documentation that a visual assessment has been conducted; or</w:t>
      </w:r>
    </w:p>
    <w:p w:rsidR="00B77A70" w:rsidRPr="00331487" w:rsidRDefault="00B77A70" w:rsidP="00B77A70">
      <w:pPr>
        <w:autoSpaceDE w:val="0"/>
        <w:autoSpaceDN w:val="0"/>
        <w:adjustRightInd w:val="0"/>
        <w:ind w:left="720"/>
        <w:rPr>
          <w:sz w:val="16"/>
          <w:szCs w:val="16"/>
        </w:rPr>
      </w:pPr>
    </w:p>
    <w:p w:rsidR="00B77A70" w:rsidRPr="00162B76" w:rsidRDefault="00330E17" w:rsidP="00760B91">
      <w:pPr>
        <w:pStyle w:val="ListParagraph"/>
        <w:numPr>
          <w:ilvl w:val="0"/>
          <w:numId w:val="21"/>
        </w:numPr>
        <w:autoSpaceDE w:val="0"/>
        <w:autoSpaceDN w:val="0"/>
        <w:adjustRightInd w:val="0"/>
      </w:pPr>
      <w:r w:rsidRPr="00162B76">
        <w:t>It meets any of the other exemptions described in 24 CFR Part 35.115(a).</w:t>
      </w:r>
    </w:p>
    <w:p w:rsidR="00B77A70" w:rsidRPr="00162B76" w:rsidRDefault="00B77A70" w:rsidP="00B77A70">
      <w:pPr>
        <w:tabs>
          <w:tab w:val="num" w:pos="720"/>
        </w:tabs>
        <w:autoSpaceDE w:val="0"/>
        <w:autoSpaceDN w:val="0"/>
        <w:adjustRightInd w:val="0"/>
        <w:ind w:left="720"/>
      </w:pPr>
    </w:p>
    <w:p w:rsidR="00B77A70" w:rsidRPr="00162B76" w:rsidRDefault="00330E17" w:rsidP="00B77A70">
      <w:pPr>
        <w:autoSpaceDE w:val="0"/>
        <w:autoSpaceDN w:val="0"/>
        <w:adjustRightInd w:val="0"/>
      </w:pPr>
      <w:r w:rsidRPr="00162B76">
        <w:t>If any of the conditions outlined above are met, Lead/Sub Grantees need to document</w:t>
      </w:r>
      <w:r w:rsidR="00637DA1">
        <w:t xml:space="preserve"> </w:t>
      </w:r>
      <w:r w:rsidRPr="00162B76">
        <w:t xml:space="preserve">the condition. </w:t>
      </w:r>
    </w:p>
    <w:p w:rsidR="007F352D" w:rsidRDefault="007F352D" w:rsidP="00EB05A1"/>
    <w:p w:rsidR="00A9492A" w:rsidRPr="008D5ABE" w:rsidRDefault="00330E17" w:rsidP="00EB05A1">
      <w:pPr>
        <w:rPr>
          <w:b/>
          <w:bCs/>
        </w:rPr>
      </w:pPr>
      <w:r w:rsidRPr="00162B76">
        <w:rPr>
          <w:color w:val="000000"/>
        </w:rPr>
        <w:t>For a Step-by-Step Guide to Compliance see</w:t>
      </w:r>
      <w:r w:rsidRPr="00162B76">
        <w:rPr>
          <w:b/>
          <w:color w:val="000000"/>
        </w:rPr>
        <w:t xml:space="preserve"> </w:t>
      </w:r>
      <w:r w:rsidR="004B01E5">
        <w:rPr>
          <w:color w:val="000000"/>
        </w:rPr>
        <w:t>Appendix E</w:t>
      </w:r>
      <w:r w:rsidRPr="0070281C">
        <w:rPr>
          <w:color w:val="000000"/>
        </w:rPr>
        <w:t>.</w:t>
      </w:r>
    </w:p>
    <w:p w:rsidR="004A5D8F" w:rsidRPr="00F40A85" w:rsidRDefault="004A5D8F" w:rsidP="00343BEB">
      <w:pPr>
        <w:rPr>
          <w:b/>
          <w:bCs/>
        </w:rPr>
      </w:pPr>
    </w:p>
    <w:p w:rsidR="0017538D" w:rsidRDefault="0017538D" w:rsidP="0029260C">
      <w:pPr>
        <w:pStyle w:val="QuickA"/>
        <w:numPr>
          <w:ilvl w:val="0"/>
          <w:numId w:val="0"/>
        </w:numPr>
        <w:shd w:val="clear" w:color="auto" w:fill="C6D9F1" w:themeFill="text2" w:themeFillTint="33"/>
        <w:tabs>
          <w:tab w:val="left" w:pos="-1440"/>
          <w:tab w:val="left" w:pos="720"/>
          <w:tab w:val="left" w:pos="1080"/>
        </w:tabs>
        <w:ind w:right="-360"/>
        <w:rPr>
          <w:b/>
          <w:bCs/>
        </w:rPr>
      </w:pPr>
      <w:r>
        <w:rPr>
          <w:b/>
          <w:bCs/>
        </w:rPr>
        <w:t xml:space="preserve">Facility Support </w:t>
      </w:r>
    </w:p>
    <w:p w:rsidR="0017538D" w:rsidRDefault="0017538D"/>
    <w:p w:rsidR="00F940C0" w:rsidRDefault="006361D8" w:rsidP="005A5CB2">
      <w:pPr>
        <w:rPr>
          <w:rFonts w:eastAsia="Calibri"/>
        </w:rPr>
      </w:pPr>
      <w:r w:rsidRPr="00564FBB">
        <w:t xml:space="preserve">Facility Support </w:t>
      </w:r>
      <w:r w:rsidRPr="00564FBB">
        <w:rPr>
          <w:rFonts w:eastAsia="Calibri"/>
        </w:rPr>
        <w:t>include</w:t>
      </w:r>
      <w:r w:rsidRPr="00564FBB">
        <w:t>s</w:t>
      </w:r>
      <w:r w:rsidRPr="00564FBB">
        <w:rPr>
          <w:rFonts w:eastAsia="Calibri"/>
        </w:rPr>
        <w:t xml:space="preserve"> costs directly related to the operation of </w:t>
      </w:r>
      <w:r w:rsidR="00F9449D" w:rsidRPr="00564FBB">
        <w:rPr>
          <w:rFonts w:eastAsia="Calibri"/>
        </w:rPr>
        <w:t xml:space="preserve">facilities for </w:t>
      </w:r>
      <w:r w:rsidR="008B4DE8">
        <w:rPr>
          <w:rFonts w:eastAsia="Calibri"/>
        </w:rPr>
        <w:t>congregate living and single-</w:t>
      </w:r>
      <w:r w:rsidRPr="00564FBB">
        <w:rPr>
          <w:rFonts w:eastAsia="Calibri"/>
        </w:rPr>
        <w:t xml:space="preserve">household units for households staying up to </w:t>
      </w:r>
      <w:r w:rsidR="00F9449D" w:rsidRPr="00564FBB">
        <w:rPr>
          <w:rFonts w:eastAsia="Calibri"/>
        </w:rPr>
        <w:t>24 months</w:t>
      </w:r>
      <w:r w:rsidRPr="00564FBB">
        <w:rPr>
          <w:rFonts w:eastAsia="Calibri"/>
        </w:rPr>
        <w:t xml:space="preserve">. </w:t>
      </w:r>
    </w:p>
    <w:p w:rsidR="00EB37AB" w:rsidRDefault="00EB37AB" w:rsidP="00EB37AB">
      <w:pPr>
        <w:pStyle w:val="a"/>
        <w:tabs>
          <w:tab w:val="left" w:pos="-1440"/>
        </w:tabs>
        <w:ind w:left="0" w:right="-360" w:firstLine="0"/>
      </w:pPr>
    </w:p>
    <w:p w:rsidR="00564FBB" w:rsidRDefault="00EB37AB" w:rsidP="00F940C0">
      <w:r w:rsidRPr="00AD5317">
        <w:lastRenderedPageBreak/>
        <w:t>Households expected to stay 90 days</w:t>
      </w:r>
      <w:r w:rsidR="00C064FB">
        <w:t xml:space="preserve"> or less</w:t>
      </w:r>
      <w:r w:rsidRPr="00AD5317">
        <w:t xml:space="preserve"> </w:t>
      </w:r>
      <w:r w:rsidR="007C09FB">
        <w:t>must</w:t>
      </w:r>
      <w:r w:rsidR="007C09FB" w:rsidRPr="00AD5317">
        <w:t xml:space="preserve"> </w:t>
      </w:r>
      <w:r w:rsidRPr="00AD5317">
        <w:t xml:space="preserve">not be </w:t>
      </w:r>
      <w:r w:rsidR="007C09FB">
        <w:t>denied housing if they are unable to pay fees, deposits, rents</w:t>
      </w:r>
      <w:r w:rsidR="0070281C">
        <w:t>,</w:t>
      </w:r>
      <w:r w:rsidR="007C09FB">
        <w:t xml:space="preserve"> or other payments. </w:t>
      </w:r>
      <w:r w:rsidR="00652C89">
        <w:t xml:space="preserve">If there are charges for housing, </w:t>
      </w:r>
      <w:r w:rsidR="007B2DE5" w:rsidRPr="00162B76">
        <w:t>Lead/Sub Grantees</w:t>
      </w:r>
      <w:r w:rsidR="00652C89">
        <w:t xml:space="preserve"> must have a policy to ensure those unable to pay are not denied housing. </w:t>
      </w:r>
    </w:p>
    <w:p w:rsidR="00E55BF1" w:rsidRDefault="00E55BF1" w:rsidP="00F940C0"/>
    <w:p w:rsidR="00E55BF1" w:rsidRPr="008C3C6E" w:rsidRDefault="00E55BF1" w:rsidP="00E55BF1">
      <w:pPr>
        <w:pStyle w:val="ListParagraph"/>
        <w:ind w:left="0"/>
        <w:contextualSpacing/>
      </w:pPr>
      <w:r>
        <w:t>S</w:t>
      </w:r>
      <w:r w:rsidRPr="008C3C6E">
        <w:t xml:space="preserve">ee </w:t>
      </w:r>
      <w:r w:rsidRPr="00162B76">
        <w:t>Section 4</w:t>
      </w:r>
      <w:r w:rsidRPr="008C3C6E">
        <w:t xml:space="preserve"> of the guidelines </w:t>
      </w:r>
      <w:r>
        <w:t>for eligibility determination.</w:t>
      </w:r>
    </w:p>
    <w:p w:rsidR="00926606" w:rsidRPr="001A31DB" w:rsidRDefault="00926606" w:rsidP="001A31DB">
      <w:pPr>
        <w:rPr>
          <w:strike/>
        </w:rPr>
      </w:pPr>
    </w:p>
    <w:p w:rsidR="00483DD4" w:rsidRDefault="00483DD4">
      <w:pPr>
        <w:rPr>
          <w:b/>
        </w:rPr>
      </w:pPr>
      <w:r>
        <w:rPr>
          <w:b/>
        </w:rPr>
        <w:t>Housing Stability Plan</w:t>
      </w:r>
    </w:p>
    <w:p w:rsidR="00483DD4" w:rsidRPr="00162B76" w:rsidRDefault="00483DD4" w:rsidP="00483DD4">
      <w:pPr>
        <w:pStyle w:val="QuickA"/>
        <w:numPr>
          <w:ilvl w:val="0"/>
          <w:numId w:val="0"/>
        </w:numPr>
        <w:tabs>
          <w:tab w:val="left" w:pos="-1440"/>
          <w:tab w:val="left" w:pos="720"/>
          <w:tab w:val="left" w:pos="1080"/>
        </w:tabs>
        <w:ind w:right="-360"/>
      </w:pPr>
      <w:r w:rsidRPr="00162B76">
        <w:t>Households residing in units supported by CHG facility support funds for greater than 90 days and up to 24 months must have a Housing Stability Plan</w:t>
      </w:r>
      <w:r w:rsidR="00E44CCC">
        <w:t xml:space="preserve"> and it must be kept in the client file</w:t>
      </w:r>
      <w:r w:rsidRPr="00162B76">
        <w:t xml:space="preserve">. </w:t>
      </w:r>
    </w:p>
    <w:p w:rsidR="00483DD4" w:rsidRPr="00162B76" w:rsidRDefault="00483DD4" w:rsidP="00483DD4">
      <w:pPr>
        <w:pStyle w:val="QuickA"/>
        <w:numPr>
          <w:ilvl w:val="0"/>
          <w:numId w:val="0"/>
        </w:numPr>
        <w:tabs>
          <w:tab w:val="left" w:pos="-1440"/>
          <w:tab w:val="left" w:pos="720"/>
          <w:tab w:val="left" w:pos="1080"/>
        </w:tabs>
        <w:ind w:right="-360"/>
      </w:pPr>
    </w:p>
    <w:p w:rsidR="00483DD4" w:rsidRPr="00162B76" w:rsidRDefault="00483DD4" w:rsidP="00483DD4">
      <w:pPr>
        <w:pStyle w:val="QuickA"/>
        <w:numPr>
          <w:ilvl w:val="0"/>
          <w:numId w:val="0"/>
        </w:numPr>
        <w:tabs>
          <w:tab w:val="left" w:pos="-1440"/>
          <w:tab w:val="left" w:pos="720"/>
          <w:tab w:val="left" w:pos="1080"/>
        </w:tabs>
        <w:ind w:right="-360"/>
      </w:pPr>
      <w:r w:rsidRPr="00162B76">
        <w:t>The household, with the assistance of the case manager, must establish and regularly update a housing stability plan that aids the household in transitioning to stable housing and self-sufficiency. If the household has an existing plan developed through a relationship with another service provider, the existing plan may be used, but it must be updated upon enrollment in the program</w:t>
      </w:r>
      <w:r w:rsidR="00162B76" w:rsidRPr="00162B76">
        <w:t>.</w:t>
      </w:r>
    </w:p>
    <w:p w:rsidR="00483DD4" w:rsidRPr="00162B76" w:rsidRDefault="00483DD4" w:rsidP="00483DD4">
      <w:pPr>
        <w:widowControl w:val="0"/>
      </w:pPr>
      <w:r w:rsidRPr="00162B76">
        <w:t>The housing stability plan must include:</w:t>
      </w:r>
    </w:p>
    <w:p w:rsidR="00483DD4" w:rsidRPr="00162B76" w:rsidRDefault="00483DD4" w:rsidP="00483DD4">
      <w:pPr>
        <w:ind w:left="720"/>
      </w:pPr>
    </w:p>
    <w:p w:rsidR="00483DD4" w:rsidRDefault="00483DD4" w:rsidP="00760B91">
      <w:pPr>
        <w:widowControl w:val="0"/>
        <w:numPr>
          <w:ilvl w:val="0"/>
          <w:numId w:val="29"/>
        </w:numPr>
        <w:tabs>
          <w:tab w:val="left" w:pos="1080"/>
        </w:tabs>
      </w:pPr>
      <w:r w:rsidRPr="00162B76">
        <w:t>A household needs assessment</w:t>
      </w:r>
    </w:p>
    <w:p w:rsidR="007F352D" w:rsidRPr="00331487" w:rsidRDefault="007F352D" w:rsidP="007F352D">
      <w:pPr>
        <w:widowControl w:val="0"/>
        <w:tabs>
          <w:tab w:val="left" w:pos="1080"/>
        </w:tabs>
        <w:ind w:left="720"/>
        <w:rPr>
          <w:sz w:val="16"/>
          <w:szCs w:val="16"/>
        </w:rPr>
      </w:pPr>
    </w:p>
    <w:p w:rsidR="00483DD4" w:rsidRPr="00162B76" w:rsidRDefault="00483DD4" w:rsidP="00760B91">
      <w:pPr>
        <w:widowControl w:val="0"/>
        <w:numPr>
          <w:ilvl w:val="0"/>
          <w:numId w:val="29"/>
        </w:numPr>
        <w:tabs>
          <w:tab w:val="left" w:pos="1080"/>
        </w:tabs>
      </w:pPr>
      <w:r w:rsidRPr="00162B76">
        <w:t>Short- and long-term goals, including specific housing and self-sufficiency goals</w:t>
      </w:r>
    </w:p>
    <w:p w:rsidR="007F352D" w:rsidRPr="00331487" w:rsidRDefault="007F352D" w:rsidP="007F352D">
      <w:pPr>
        <w:widowControl w:val="0"/>
        <w:tabs>
          <w:tab w:val="left" w:pos="1080"/>
        </w:tabs>
        <w:ind w:left="720"/>
        <w:rPr>
          <w:sz w:val="16"/>
          <w:szCs w:val="16"/>
        </w:rPr>
      </w:pPr>
    </w:p>
    <w:p w:rsidR="00483DD4" w:rsidRPr="00162B76" w:rsidRDefault="00483DD4" w:rsidP="00760B91">
      <w:pPr>
        <w:widowControl w:val="0"/>
        <w:numPr>
          <w:ilvl w:val="0"/>
          <w:numId w:val="29"/>
        </w:numPr>
        <w:tabs>
          <w:tab w:val="left" w:pos="1080"/>
        </w:tabs>
      </w:pPr>
      <w:r w:rsidRPr="00162B76">
        <w:t>Action steps with projected completion dates when possible.</w:t>
      </w:r>
    </w:p>
    <w:p w:rsidR="00483DD4" w:rsidRDefault="00483DD4" w:rsidP="00483DD4"/>
    <w:p w:rsidR="00C05206" w:rsidRPr="00C05206" w:rsidRDefault="00C05206" w:rsidP="00AD3198">
      <w:pPr>
        <w:rPr>
          <w:b/>
        </w:rPr>
      </w:pPr>
      <w:r>
        <w:rPr>
          <w:b/>
        </w:rPr>
        <w:t xml:space="preserve">Allowable Expenses </w:t>
      </w:r>
    </w:p>
    <w:p w:rsidR="00C05206" w:rsidRDefault="00C05206" w:rsidP="00AD3198"/>
    <w:p w:rsidR="0017538D" w:rsidRDefault="0017538D" w:rsidP="00EE51FF">
      <w:pPr>
        <w:pStyle w:val="ListParagraph"/>
        <w:numPr>
          <w:ilvl w:val="0"/>
          <w:numId w:val="5"/>
        </w:numPr>
      </w:pPr>
      <w:r>
        <w:t>Lease or rent payment on</w:t>
      </w:r>
      <w:r w:rsidR="00B31FE0">
        <w:t xml:space="preserve"> a</w:t>
      </w:r>
      <w:r>
        <w:t xml:space="preserve"> building</w:t>
      </w:r>
      <w:r w:rsidR="00A0746C">
        <w:t xml:space="preserve">. </w:t>
      </w:r>
      <w:r>
        <w:t xml:space="preserve">(If a </w:t>
      </w:r>
      <w:r w:rsidR="000C6F71">
        <w:t>Lead/Sub G</w:t>
      </w:r>
      <w:r>
        <w:t>rantee owns the building or has a mortgage payment on the building, they may not charge the grant “rent” and then reimburse themselves.)</w:t>
      </w:r>
    </w:p>
    <w:p w:rsidR="0017538D" w:rsidRPr="00AD3198" w:rsidRDefault="0017538D" w:rsidP="00AD3198">
      <w:pPr>
        <w:rPr>
          <w:sz w:val="16"/>
          <w:szCs w:val="16"/>
        </w:rPr>
      </w:pPr>
    </w:p>
    <w:p w:rsidR="0017538D" w:rsidRDefault="004F12D9" w:rsidP="00EE51FF">
      <w:pPr>
        <w:pStyle w:val="ListParagraph"/>
        <w:numPr>
          <w:ilvl w:val="0"/>
          <w:numId w:val="5"/>
        </w:numPr>
      </w:pPr>
      <w:r>
        <w:t>Utilities (gas /</w:t>
      </w:r>
      <w:r w:rsidR="0017538D">
        <w:t xml:space="preserve">propane, </w:t>
      </w:r>
      <w:r>
        <w:t xml:space="preserve">land line phone, </w:t>
      </w:r>
      <w:r w:rsidR="0017538D">
        <w:t xml:space="preserve">electric, </w:t>
      </w:r>
      <w:r w:rsidR="00B30E50">
        <w:t xml:space="preserve">internet, </w:t>
      </w:r>
      <w:r w:rsidR="0017538D">
        <w:t>water and sewer, garbage removal)</w:t>
      </w:r>
      <w:r w:rsidR="003E67C6">
        <w:t>.</w:t>
      </w:r>
    </w:p>
    <w:p w:rsidR="0017538D" w:rsidRPr="00AD3198" w:rsidRDefault="0017538D" w:rsidP="00AD3198">
      <w:pPr>
        <w:rPr>
          <w:sz w:val="16"/>
          <w:szCs w:val="16"/>
        </w:rPr>
      </w:pPr>
    </w:p>
    <w:p w:rsidR="00B31FE0" w:rsidRDefault="0017538D" w:rsidP="00EE51FF">
      <w:pPr>
        <w:pStyle w:val="ListParagraph"/>
        <w:numPr>
          <w:ilvl w:val="0"/>
          <w:numId w:val="5"/>
        </w:numPr>
      </w:pPr>
      <w:r>
        <w:t>Maintenance (janitorial/cleaning supplies, pest control, fire safety, materials and contract or staff maintenance salaries and benefits associated with providing the maintenanc</w:t>
      </w:r>
      <w:r w:rsidR="008C64A6">
        <w:t>e</w:t>
      </w:r>
      <w:r w:rsidR="000C6F71">
        <w:t>).</w:t>
      </w:r>
    </w:p>
    <w:p w:rsidR="000C6F71" w:rsidRPr="00AD3198" w:rsidRDefault="000C6F71" w:rsidP="00AD3198">
      <w:pPr>
        <w:pStyle w:val="ListParagraph"/>
        <w:rPr>
          <w:sz w:val="16"/>
          <w:szCs w:val="16"/>
        </w:rPr>
      </w:pPr>
    </w:p>
    <w:p w:rsidR="0017538D" w:rsidRDefault="0017538D" w:rsidP="00EE51FF">
      <w:pPr>
        <w:pStyle w:val="ListParagraph"/>
        <w:numPr>
          <w:ilvl w:val="0"/>
          <w:numId w:val="6"/>
        </w:numPr>
      </w:pPr>
      <w:r>
        <w:t>Security and Janitorial (salaries and benefits associated with providing security</w:t>
      </w:r>
      <w:r w:rsidR="00B30E50">
        <w:t>, janitorial services</w:t>
      </w:r>
      <w:r>
        <w:t>)</w:t>
      </w:r>
      <w:r w:rsidR="003E67C6">
        <w:t>.</w:t>
      </w:r>
      <w:r>
        <w:t xml:space="preserve"> </w:t>
      </w:r>
    </w:p>
    <w:p w:rsidR="0017538D" w:rsidRPr="00AD3198" w:rsidRDefault="0017538D" w:rsidP="00AD3198">
      <w:pPr>
        <w:pStyle w:val="ListParagraph"/>
        <w:rPr>
          <w:sz w:val="16"/>
          <w:szCs w:val="16"/>
        </w:rPr>
      </w:pPr>
    </w:p>
    <w:p w:rsidR="0017538D" w:rsidRDefault="003F16A5" w:rsidP="00EE51FF">
      <w:pPr>
        <w:pStyle w:val="ListParagraph"/>
        <w:numPr>
          <w:ilvl w:val="0"/>
          <w:numId w:val="6"/>
        </w:numPr>
      </w:pPr>
      <w:r>
        <w:t>Essential facility equipment and supplies (e.g. common-use t</w:t>
      </w:r>
      <w:r w:rsidR="006565E7">
        <w:t>oiletries</w:t>
      </w:r>
      <w:r>
        <w:t>,</w:t>
      </w:r>
      <w:r w:rsidR="006565E7">
        <w:t xml:space="preserve"> f</w:t>
      </w:r>
      <w:r w:rsidR="005311CE">
        <w:t>ood served in shelters</w:t>
      </w:r>
      <w:r>
        <w:t>, bedding, mats, cots, towels, microwave, etc)</w:t>
      </w:r>
      <w:r w:rsidR="0060667B">
        <w:t>.</w:t>
      </w:r>
    </w:p>
    <w:p w:rsidR="0017538D" w:rsidRPr="00AD3198" w:rsidRDefault="0017538D" w:rsidP="00AD3198">
      <w:pPr>
        <w:pStyle w:val="ListParagraph"/>
        <w:rPr>
          <w:sz w:val="16"/>
          <w:szCs w:val="16"/>
        </w:rPr>
      </w:pPr>
    </w:p>
    <w:p w:rsidR="0017538D" w:rsidRDefault="0017538D" w:rsidP="00EE51FF">
      <w:pPr>
        <w:pStyle w:val="ListParagraph"/>
        <w:numPr>
          <w:ilvl w:val="0"/>
          <w:numId w:val="6"/>
        </w:numPr>
      </w:pPr>
      <w:r>
        <w:t xml:space="preserve">Expendable transportation costs directly related to the transportation of </w:t>
      </w:r>
      <w:r w:rsidR="000C6F71">
        <w:t xml:space="preserve">eligible </w:t>
      </w:r>
      <w:r>
        <w:t>clients (bus tokens and fuel for a shelter van)</w:t>
      </w:r>
      <w:r w:rsidR="003E67C6">
        <w:t>.</w:t>
      </w:r>
      <w:r>
        <w:t xml:space="preserve"> </w:t>
      </w:r>
    </w:p>
    <w:p w:rsidR="0017538D" w:rsidRPr="00AD3198" w:rsidRDefault="0017538D" w:rsidP="00AD3198">
      <w:pPr>
        <w:pStyle w:val="ListParagraph"/>
        <w:rPr>
          <w:sz w:val="16"/>
          <w:szCs w:val="16"/>
        </w:rPr>
      </w:pPr>
    </w:p>
    <w:p w:rsidR="003033C3" w:rsidRDefault="009B582C" w:rsidP="00EE51FF">
      <w:pPr>
        <w:pStyle w:val="ListParagraph"/>
        <w:numPr>
          <w:ilvl w:val="0"/>
          <w:numId w:val="6"/>
        </w:numPr>
      </w:pPr>
      <w:r>
        <w:t>Hotel/</w:t>
      </w:r>
      <w:r w:rsidR="0017538D">
        <w:t xml:space="preserve">Motel </w:t>
      </w:r>
      <w:r w:rsidR="00AD7301">
        <w:t xml:space="preserve">expenses </w:t>
      </w:r>
      <w:r w:rsidR="00ED7508">
        <w:t>for less than 90 days when no suitable shelter bed is available.</w:t>
      </w:r>
    </w:p>
    <w:p w:rsidR="00E95B3C" w:rsidRPr="00AD3198" w:rsidRDefault="00E95B3C" w:rsidP="00AD3198">
      <w:pPr>
        <w:pStyle w:val="ListParagraph"/>
        <w:rPr>
          <w:sz w:val="16"/>
          <w:szCs w:val="16"/>
        </w:rPr>
      </w:pPr>
    </w:p>
    <w:p w:rsidR="0017538D" w:rsidRDefault="008B0C51" w:rsidP="00EE51FF">
      <w:pPr>
        <w:pStyle w:val="ListParagraph"/>
        <w:numPr>
          <w:ilvl w:val="0"/>
          <w:numId w:val="6"/>
        </w:numPr>
      </w:pPr>
      <w:r>
        <w:t>On site</w:t>
      </w:r>
      <w:r w:rsidR="00E95B3C">
        <w:t xml:space="preserve"> and o</w:t>
      </w:r>
      <w:r>
        <w:t>ff site management</w:t>
      </w:r>
      <w:r w:rsidR="00E95B3C">
        <w:t xml:space="preserve"> costs</w:t>
      </w:r>
      <w:r>
        <w:t xml:space="preserve"> related </w:t>
      </w:r>
      <w:r w:rsidR="00E95B3C">
        <w:t xml:space="preserve">to </w:t>
      </w:r>
      <w:r>
        <w:t>the building.</w:t>
      </w:r>
    </w:p>
    <w:p w:rsidR="00AD3198" w:rsidRDefault="00AD3198" w:rsidP="00B92F2A">
      <w:pPr>
        <w:rPr>
          <w:sz w:val="16"/>
          <w:szCs w:val="16"/>
        </w:rPr>
      </w:pPr>
    </w:p>
    <w:p w:rsidR="0017538D" w:rsidRPr="007A4930" w:rsidRDefault="007A4930" w:rsidP="00EE51FF">
      <w:pPr>
        <w:pStyle w:val="ListParagraph"/>
        <w:numPr>
          <w:ilvl w:val="0"/>
          <w:numId w:val="7"/>
        </w:numPr>
        <w:rPr>
          <w:sz w:val="20"/>
          <w:szCs w:val="20"/>
        </w:rPr>
      </w:pPr>
      <w:r>
        <w:t>Facility specific i</w:t>
      </w:r>
      <w:r w:rsidR="0017538D">
        <w:t xml:space="preserve">nsurance </w:t>
      </w:r>
      <w:r>
        <w:t xml:space="preserve">(mortgage insurance is not allowable) </w:t>
      </w:r>
      <w:r w:rsidR="0017538D">
        <w:t xml:space="preserve">and </w:t>
      </w:r>
      <w:r w:rsidR="0017538D" w:rsidRPr="007A4930">
        <w:t>accounting</w:t>
      </w:r>
      <w:r w:rsidR="003E67C6">
        <w:t>.</w:t>
      </w:r>
      <w:r w:rsidR="0017538D" w:rsidRPr="007A4930">
        <w:t xml:space="preserve"> </w:t>
      </w:r>
    </w:p>
    <w:p w:rsidR="00B31FE0" w:rsidRPr="00AD3198" w:rsidRDefault="00B31FE0">
      <w:pPr>
        <w:pStyle w:val="a"/>
        <w:tabs>
          <w:tab w:val="left" w:pos="-1440"/>
        </w:tabs>
        <w:ind w:left="720" w:right="-360" w:firstLine="0"/>
        <w:rPr>
          <w:sz w:val="16"/>
          <w:szCs w:val="16"/>
        </w:rPr>
      </w:pPr>
    </w:p>
    <w:p w:rsidR="00B92F2A" w:rsidRDefault="0017538D" w:rsidP="00EE51FF">
      <w:pPr>
        <w:pStyle w:val="BodyTextIndent2"/>
        <w:numPr>
          <w:ilvl w:val="0"/>
          <w:numId w:val="7"/>
        </w:numPr>
      </w:pPr>
      <w:r>
        <w:t>Marketing</w:t>
      </w:r>
      <w:r w:rsidR="003E67C6">
        <w:t>.</w:t>
      </w:r>
      <w:r>
        <w:t xml:space="preserve"> </w:t>
      </w:r>
      <w:r w:rsidR="000C6F71">
        <w:t xml:space="preserve"> </w:t>
      </w:r>
    </w:p>
    <w:p w:rsidR="00874891" w:rsidRPr="00673A34" w:rsidRDefault="00874891" w:rsidP="006F53C6">
      <w:pPr>
        <w:pStyle w:val="BodyTextIndent2"/>
        <w:rPr>
          <w:sz w:val="16"/>
          <w:szCs w:val="16"/>
        </w:rPr>
      </w:pPr>
    </w:p>
    <w:p w:rsidR="000977F5" w:rsidRDefault="000977F5" w:rsidP="00EE51FF">
      <w:pPr>
        <w:pStyle w:val="BodyTextIndent2"/>
        <w:numPr>
          <w:ilvl w:val="0"/>
          <w:numId w:val="7"/>
        </w:numPr>
      </w:pPr>
      <w:r>
        <w:lastRenderedPageBreak/>
        <w:t>Other expenses as approved by Commerce.</w:t>
      </w:r>
    </w:p>
    <w:p w:rsidR="00AD3198" w:rsidRDefault="00AD3198">
      <w:pPr>
        <w:rPr>
          <w:sz w:val="16"/>
          <w:szCs w:val="16"/>
        </w:rPr>
      </w:pPr>
    </w:p>
    <w:p w:rsidR="0017538D" w:rsidRDefault="0017538D" w:rsidP="00443A57">
      <w:r>
        <w:t xml:space="preserve">The following expenses are </w:t>
      </w:r>
      <w:r w:rsidRPr="00120173">
        <w:rPr>
          <w:u w:val="single"/>
        </w:rPr>
        <w:t>not eligible</w:t>
      </w:r>
      <w:r>
        <w:t>:</w:t>
      </w:r>
    </w:p>
    <w:p w:rsidR="0017538D" w:rsidRPr="00673A34" w:rsidRDefault="0017538D">
      <w:pPr>
        <w:ind w:firstLine="720"/>
        <w:rPr>
          <w:sz w:val="20"/>
          <w:szCs w:val="20"/>
        </w:rPr>
      </w:pPr>
    </w:p>
    <w:p w:rsidR="0017538D" w:rsidRDefault="0017538D" w:rsidP="00EE51FF">
      <w:pPr>
        <w:pStyle w:val="a"/>
        <w:numPr>
          <w:ilvl w:val="0"/>
          <w:numId w:val="9"/>
        </w:numPr>
        <w:tabs>
          <w:tab w:val="left" w:pos="-1440"/>
        </w:tabs>
        <w:ind w:left="720" w:right="-360"/>
      </w:pPr>
      <w:r>
        <w:t>Direct client services other than</w:t>
      </w:r>
      <w:r w:rsidR="00B92F2A">
        <w:t xml:space="preserve"> </w:t>
      </w:r>
      <w:r w:rsidR="000D0030">
        <w:t>those described above</w:t>
      </w:r>
      <w:r w:rsidR="00B92F2A">
        <w:t>.</w:t>
      </w:r>
      <w:r>
        <w:t xml:space="preserve"> </w:t>
      </w:r>
    </w:p>
    <w:p w:rsidR="007F352D" w:rsidRPr="00331487" w:rsidRDefault="00874891" w:rsidP="00874891">
      <w:pPr>
        <w:pStyle w:val="a"/>
        <w:tabs>
          <w:tab w:val="left" w:pos="-1440"/>
        </w:tabs>
        <w:ind w:left="720" w:right="-360" w:firstLine="0"/>
        <w:rPr>
          <w:sz w:val="16"/>
          <w:szCs w:val="16"/>
        </w:rPr>
      </w:pPr>
      <w:r>
        <w:rPr>
          <w:sz w:val="16"/>
          <w:szCs w:val="16"/>
        </w:rPr>
        <w:tab/>
      </w:r>
      <w:r>
        <w:rPr>
          <w:sz w:val="16"/>
          <w:szCs w:val="16"/>
        </w:rPr>
        <w:tab/>
      </w:r>
    </w:p>
    <w:p w:rsidR="0017538D" w:rsidRDefault="0017538D" w:rsidP="00EE51FF">
      <w:pPr>
        <w:pStyle w:val="a"/>
        <w:numPr>
          <w:ilvl w:val="0"/>
          <w:numId w:val="9"/>
        </w:numPr>
        <w:tabs>
          <w:tab w:val="left" w:pos="-1440"/>
        </w:tabs>
        <w:ind w:left="720" w:right="-360"/>
      </w:pPr>
      <w:r>
        <w:t>Replacement or operating reserves.</w:t>
      </w:r>
    </w:p>
    <w:p w:rsidR="007F352D" w:rsidRPr="00331487" w:rsidRDefault="007F352D" w:rsidP="007F352D">
      <w:pPr>
        <w:pStyle w:val="a"/>
        <w:tabs>
          <w:tab w:val="left" w:pos="-1440"/>
        </w:tabs>
        <w:ind w:left="720" w:right="-360" w:firstLine="0"/>
        <w:rPr>
          <w:sz w:val="16"/>
          <w:szCs w:val="16"/>
        </w:rPr>
      </w:pPr>
    </w:p>
    <w:p w:rsidR="0017538D" w:rsidRDefault="0017538D" w:rsidP="00EE51FF">
      <w:pPr>
        <w:pStyle w:val="a"/>
        <w:numPr>
          <w:ilvl w:val="0"/>
          <w:numId w:val="9"/>
        </w:numPr>
        <w:tabs>
          <w:tab w:val="left" w:pos="-1440"/>
        </w:tabs>
        <w:ind w:left="720" w:right="-360"/>
      </w:pPr>
      <w:r>
        <w:t>Debt service</w:t>
      </w:r>
      <w:r w:rsidR="00777657">
        <w:t>.</w:t>
      </w:r>
    </w:p>
    <w:p w:rsidR="007F352D" w:rsidRPr="00331487" w:rsidRDefault="007F352D" w:rsidP="007F352D">
      <w:pPr>
        <w:pStyle w:val="a"/>
        <w:tabs>
          <w:tab w:val="left" w:pos="-1440"/>
        </w:tabs>
        <w:ind w:left="720" w:right="-360" w:firstLine="0"/>
        <w:rPr>
          <w:sz w:val="16"/>
          <w:szCs w:val="16"/>
        </w:rPr>
      </w:pPr>
    </w:p>
    <w:p w:rsidR="0017538D" w:rsidRDefault="0017538D" w:rsidP="00EE51FF">
      <w:pPr>
        <w:pStyle w:val="a"/>
        <w:numPr>
          <w:ilvl w:val="0"/>
          <w:numId w:val="9"/>
        </w:numPr>
        <w:tabs>
          <w:tab w:val="left" w:pos="-1440"/>
        </w:tabs>
        <w:ind w:left="720" w:right="-360"/>
      </w:pPr>
      <w:r>
        <w:t>Construction or rehabilitation of shelter facilities.</w:t>
      </w:r>
    </w:p>
    <w:p w:rsidR="007F352D" w:rsidRPr="00331487" w:rsidRDefault="007F352D" w:rsidP="007F352D">
      <w:pPr>
        <w:pStyle w:val="a"/>
        <w:tabs>
          <w:tab w:val="left" w:pos="-1440"/>
        </w:tabs>
        <w:ind w:left="720" w:right="-360" w:firstLine="0"/>
        <w:rPr>
          <w:sz w:val="16"/>
          <w:szCs w:val="16"/>
        </w:rPr>
      </w:pPr>
    </w:p>
    <w:p w:rsidR="0017538D" w:rsidRPr="009C5FF5" w:rsidRDefault="00C5178C" w:rsidP="00EE51FF">
      <w:pPr>
        <w:pStyle w:val="a"/>
        <w:numPr>
          <w:ilvl w:val="0"/>
          <w:numId w:val="9"/>
        </w:numPr>
        <w:tabs>
          <w:tab w:val="left" w:pos="-1440"/>
        </w:tabs>
        <w:ind w:left="720" w:right="-360"/>
      </w:pPr>
      <w:r w:rsidRPr="009C5FF5">
        <w:t>CHG facility support cannot be combined with CHG funded rent and rent/utility assistance unless approved in advance by Commerce.</w:t>
      </w:r>
    </w:p>
    <w:p w:rsidR="007F352D" w:rsidRPr="00331487" w:rsidRDefault="007F352D" w:rsidP="007F352D">
      <w:pPr>
        <w:pStyle w:val="a"/>
        <w:tabs>
          <w:tab w:val="left" w:pos="-1440"/>
        </w:tabs>
        <w:ind w:left="720" w:right="-360" w:firstLine="0"/>
        <w:rPr>
          <w:sz w:val="16"/>
          <w:szCs w:val="16"/>
        </w:rPr>
      </w:pPr>
    </w:p>
    <w:p w:rsidR="0017538D" w:rsidRDefault="0017538D" w:rsidP="00EE51FF">
      <w:pPr>
        <w:pStyle w:val="a"/>
        <w:numPr>
          <w:ilvl w:val="0"/>
          <w:numId w:val="9"/>
        </w:numPr>
        <w:tabs>
          <w:tab w:val="left" w:pos="-1440"/>
        </w:tabs>
        <w:ind w:left="720" w:right="-360"/>
      </w:pPr>
      <w:r>
        <w:t>Any costs that are the responsibility of the tenant.</w:t>
      </w:r>
      <w:r w:rsidR="00735205">
        <w:t xml:space="preserve"> </w:t>
      </w:r>
    </w:p>
    <w:p w:rsidR="00735205" w:rsidRDefault="00735205" w:rsidP="00735205">
      <w:pPr>
        <w:pStyle w:val="a"/>
        <w:tabs>
          <w:tab w:val="left" w:pos="-1440"/>
        </w:tabs>
        <w:ind w:left="720" w:right="-360" w:firstLine="0"/>
      </w:pPr>
    </w:p>
    <w:p w:rsidR="00F0670F" w:rsidRPr="009C5FF5" w:rsidRDefault="00F0670F" w:rsidP="00F0670F">
      <w:pPr>
        <w:pStyle w:val="QuickA"/>
        <w:numPr>
          <w:ilvl w:val="0"/>
          <w:numId w:val="0"/>
        </w:numPr>
        <w:tabs>
          <w:tab w:val="num" w:pos="0"/>
        </w:tabs>
        <w:rPr>
          <w:b/>
        </w:rPr>
      </w:pPr>
      <w:r w:rsidRPr="009C5FF5">
        <w:rPr>
          <w:b/>
        </w:rPr>
        <w:t>Housing Inspections</w:t>
      </w:r>
    </w:p>
    <w:p w:rsidR="00B33CFC" w:rsidRPr="009C5FF5" w:rsidRDefault="00D97454" w:rsidP="00F0670F">
      <w:pPr>
        <w:pStyle w:val="QuickA"/>
        <w:numPr>
          <w:ilvl w:val="0"/>
          <w:numId w:val="0"/>
        </w:numPr>
        <w:tabs>
          <w:tab w:val="num" w:pos="0"/>
        </w:tabs>
        <w:rPr>
          <w:bCs/>
        </w:rPr>
      </w:pPr>
      <w:r w:rsidRPr="009C5FF5">
        <w:t xml:space="preserve">Lead/Sub Grantees using </w:t>
      </w:r>
      <w:r w:rsidRPr="009C5FF5">
        <w:rPr>
          <w:bCs/>
        </w:rPr>
        <w:t xml:space="preserve">CHG Facility Support funds to </w:t>
      </w:r>
      <w:r w:rsidR="00F0670F" w:rsidRPr="009C5FF5">
        <w:rPr>
          <w:bCs/>
        </w:rPr>
        <w:t>support</w:t>
      </w:r>
      <w:r w:rsidRPr="009C5FF5">
        <w:rPr>
          <w:bCs/>
        </w:rPr>
        <w:t xml:space="preserve"> single-household units (not congregate living) </w:t>
      </w:r>
      <w:r w:rsidR="00F0670F" w:rsidRPr="009C5FF5">
        <w:rPr>
          <w:bCs/>
        </w:rPr>
        <w:t xml:space="preserve">in which households will live </w:t>
      </w:r>
      <w:r w:rsidRPr="009C5FF5">
        <w:rPr>
          <w:bCs/>
        </w:rPr>
        <w:t>for greater than 90 days and up to 24 months must conduct a housing inspection at least once a year</w:t>
      </w:r>
      <w:r w:rsidR="0070281C">
        <w:rPr>
          <w:bCs/>
        </w:rPr>
        <w:t>.</w:t>
      </w:r>
    </w:p>
    <w:p w:rsidR="00F0670F" w:rsidRPr="009C5FF5" w:rsidRDefault="00F0670F" w:rsidP="00F0670F">
      <w:pPr>
        <w:pStyle w:val="QuickA"/>
        <w:numPr>
          <w:ilvl w:val="0"/>
          <w:numId w:val="0"/>
        </w:numPr>
        <w:tabs>
          <w:tab w:val="num" w:pos="0"/>
          <w:tab w:val="num" w:pos="720"/>
        </w:tabs>
      </w:pPr>
    </w:p>
    <w:p w:rsidR="007F352D" w:rsidRDefault="00F0670F" w:rsidP="007F352D">
      <w:pPr>
        <w:pStyle w:val="NormalWeb"/>
        <w:tabs>
          <w:tab w:val="num" w:pos="0"/>
        </w:tabs>
        <w:spacing w:before="0" w:beforeAutospacing="0" w:after="0" w:afterAutospacing="0"/>
      </w:pPr>
      <w:r w:rsidRPr="009C5FF5">
        <w:t xml:space="preserve">Lead/Sub Grantees may adopt the </w:t>
      </w:r>
      <w:hyperlink r:id="rId19" w:history="1">
        <w:r w:rsidRPr="009C5FF5">
          <w:rPr>
            <w:rStyle w:val="Hyperlink"/>
            <w:iCs/>
          </w:rPr>
          <w:t>HUD Housing Quality Standards</w:t>
        </w:r>
        <w:r w:rsidRPr="009C5FF5">
          <w:rPr>
            <w:rStyle w:val="Hyperlink"/>
          </w:rPr>
          <w:t xml:space="preserve"> (HQS)</w:t>
        </w:r>
      </w:hyperlink>
      <w:r w:rsidRPr="009C5FF5">
        <w:t xml:space="preserve"> inspection procedures or the Commerce </w:t>
      </w:r>
      <w:r w:rsidRPr="009C5FF5">
        <w:rPr>
          <w:iCs/>
        </w:rPr>
        <w:t xml:space="preserve">Housing </w:t>
      </w:r>
      <w:r w:rsidR="00A85605" w:rsidRPr="006C46B6">
        <w:rPr>
          <w:iCs/>
        </w:rPr>
        <w:t>Habitability</w:t>
      </w:r>
      <w:r w:rsidR="00A85605" w:rsidRPr="00162B76">
        <w:rPr>
          <w:iCs/>
        </w:rPr>
        <w:t xml:space="preserve"> </w:t>
      </w:r>
      <w:r w:rsidRPr="009C5FF5">
        <w:rPr>
          <w:iCs/>
        </w:rPr>
        <w:t>Standards</w:t>
      </w:r>
      <w:r w:rsidR="00A85605">
        <w:t xml:space="preserve"> (HH</w:t>
      </w:r>
      <w:r w:rsidRPr="009C5FF5">
        <w:t>S) procedures.  If HQS is adopted, inspectors must be certified.</w:t>
      </w:r>
    </w:p>
    <w:p w:rsidR="007F352D" w:rsidRDefault="007F352D" w:rsidP="007F352D">
      <w:pPr>
        <w:pStyle w:val="NormalWeb"/>
        <w:tabs>
          <w:tab w:val="num" w:pos="0"/>
        </w:tabs>
        <w:spacing w:before="0" w:beforeAutospacing="0" w:after="0" w:afterAutospacing="0"/>
      </w:pPr>
    </w:p>
    <w:p w:rsidR="00F0670F" w:rsidRPr="009C5FF5" w:rsidRDefault="007F352D" w:rsidP="007F352D">
      <w:pPr>
        <w:pStyle w:val="NormalWeb"/>
        <w:tabs>
          <w:tab w:val="num" w:pos="0"/>
        </w:tabs>
        <w:spacing w:before="0" w:beforeAutospacing="0"/>
      </w:pPr>
      <w:r>
        <w:t>Co</w:t>
      </w:r>
      <w:r w:rsidR="00F0670F" w:rsidRPr="009C5FF5">
        <w:t xml:space="preserve">mmerce does not exempt units from having to be compliant with local housing codes. Therefore, if there are requirements that are in both the local housing code and HQS or </w:t>
      </w:r>
      <w:r w:rsidR="00342961">
        <w:t>HHS</w:t>
      </w:r>
      <w:r w:rsidR="00F0670F" w:rsidRPr="009C5FF5">
        <w:t>, the Lead/Sub Grantee must comply with the more stringent of the two.</w:t>
      </w:r>
      <w:r w:rsidR="00EF5F5F">
        <w:t xml:space="preserve"> Documentation of housing inspections must be readily accessible for review.</w:t>
      </w:r>
    </w:p>
    <w:p w:rsidR="00F0670F" w:rsidRPr="009C5FF5" w:rsidRDefault="00F0670F" w:rsidP="008E0810">
      <w:pPr>
        <w:pStyle w:val="NormalWeb"/>
        <w:tabs>
          <w:tab w:val="num" w:pos="0"/>
        </w:tabs>
        <w:spacing w:after="0" w:afterAutospacing="0"/>
        <w:rPr>
          <w:b/>
        </w:rPr>
      </w:pPr>
      <w:r w:rsidRPr="009C5FF5">
        <w:rPr>
          <w:b/>
        </w:rPr>
        <w:t xml:space="preserve">Lead-Based Paint </w:t>
      </w:r>
      <w:r w:rsidR="00DD71F5">
        <w:rPr>
          <w:b/>
        </w:rPr>
        <w:t>Visual Assessments</w:t>
      </w:r>
    </w:p>
    <w:p w:rsidR="00F0670F" w:rsidRPr="009C5FF5" w:rsidRDefault="00F0670F" w:rsidP="00F0670F">
      <w:pPr>
        <w:autoSpaceDE w:val="0"/>
        <w:autoSpaceDN w:val="0"/>
        <w:adjustRightInd w:val="0"/>
      </w:pPr>
      <w:r w:rsidRPr="009C5FF5">
        <w:t>The lead</w:t>
      </w:r>
      <w:r w:rsidRPr="009C5FF5">
        <w:rPr>
          <w:rFonts w:ascii="Calibri" w:hAnsi="Calibri"/>
        </w:rPr>
        <w:t>‐</w:t>
      </w:r>
      <w:r w:rsidRPr="009C5FF5">
        <w:t xml:space="preserve">based paint </w:t>
      </w:r>
      <w:r w:rsidR="00DD71F5">
        <w:t>visual assessment</w:t>
      </w:r>
      <w:r w:rsidRPr="009C5FF5">
        <w:t xml:space="preserve"> requirement exists to protect vulnerable families from potential health hazards. To prevent lead</w:t>
      </w:r>
      <w:r w:rsidRPr="009C5FF5">
        <w:rPr>
          <w:rFonts w:ascii="Calibri" w:hAnsi="Calibri"/>
        </w:rPr>
        <w:t>‐</w:t>
      </w:r>
      <w:r w:rsidRPr="009C5FF5">
        <w:t>poisoning in young children, Lead/Sub Grantees must comply with the Lead</w:t>
      </w:r>
      <w:r w:rsidRPr="009C5FF5">
        <w:rPr>
          <w:rFonts w:ascii="Calibri" w:hAnsi="Calibri"/>
        </w:rPr>
        <w:t>‐</w:t>
      </w:r>
      <w:r w:rsidRPr="009C5FF5">
        <w:t xml:space="preserve">Based Paint Poisoning Prevention Act of 1973 and its applicable regulations found at 24 CFR 35, Parts A, B, M, and R. </w:t>
      </w:r>
    </w:p>
    <w:p w:rsidR="00F0670F" w:rsidRPr="009C5FF5" w:rsidRDefault="00F0670F" w:rsidP="00F0670F">
      <w:pPr>
        <w:autoSpaceDE w:val="0"/>
        <w:autoSpaceDN w:val="0"/>
        <w:adjustRightInd w:val="0"/>
      </w:pPr>
    </w:p>
    <w:p w:rsidR="00F0670F" w:rsidRPr="009C5FF5" w:rsidRDefault="00F0670F" w:rsidP="00F0670F">
      <w:pPr>
        <w:autoSpaceDE w:val="0"/>
        <w:autoSpaceDN w:val="0"/>
        <w:adjustRightInd w:val="0"/>
      </w:pPr>
      <w:r w:rsidRPr="009C5FF5">
        <w:t>A lead</w:t>
      </w:r>
      <w:r w:rsidRPr="009C5FF5">
        <w:rPr>
          <w:rFonts w:ascii="Calibri" w:hAnsi="Calibri"/>
        </w:rPr>
        <w:t>‐</w:t>
      </w:r>
      <w:r w:rsidRPr="009C5FF5">
        <w:t xml:space="preserve">based paint </w:t>
      </w:r>
      <w:r w:rsidRPr="009C5FF5">
        <w:rPr>
          <w:u w:val="single"/>
        </w:rPr>
        <w:t>visual assessment</w:t>
      </w:r>
      <w:r w:rsidRPr="009C5FF5">
        <w:t xml:space="preserve"> must be completed for all units that meet the three following conditions:</w:t>
      </w:r>
    </w:p>
    <w:p w:rsidR="00F0670F" w:rsidRPr="009C5FF5" w:rsidRDefault="00F0670F" w:rsidP="00F0670F">
      <w:pPr>
        <w:autoSpaceDE w:val="0"/>
        <w:autoSpaceDN w:val="0"/>
        <w:adjustRightInd w:val="0"/>
      </w:pPr>
    </w:p>
    <w:p w:rsidR="00F0670F" w:rsidRDefault="00F0670F" w:rsidP="00760B91">
      <w:pPr>
        <w:pStyle w:val="ListParagraph"/>
        <w:numPr>
          <w:ilvl w:val="0"/>
          <w:numId w:val="31"/>
        </w:numPr>
        <w:autoSpaceDE w:val="0"/>
        <w:autoSpaceDN w:val="0"/>
        <w:adjustRightInd w:val="0"/>
        <w:ind w:left="720"/>
      </w:pPr>
      <w:r w:rsidRPr="009C5FF5">
        <w:t xml:space="preserve">The household </w:t>
      </w:r>
      <w:r w:rsidRPr="00331487">
        <w:rPr>
          <w:u w:val="single"/>
        </w:rPr>
        <w:t>moving into or remaining in their current unit</w:t>
      </w:r>
      <w:r w:rsidRPr="009C5FF5">
        <w:t xml:space="preserve"> is being assisted with CHG rent/utility assistance.</w:t>
      </w:r>
    </w:p>
    <w:p w:rsidR="00331487" w:rsidRPr="00331487" w:rsidRDefault="00331487" w:rsidP="00331487">
      <w:pPr>
        <w:autoSpaceDE w:val="0"/>
        <w:autoSpaceDN w:val="0"/>
        <w:adjustRightInd w:val="0"/>
        <w:ind w:left="720" w:hanging="360"/>
        <w:rPr>
          <w:sz w:val="16"/>
          <w:szCs w:val="16"/>
        </w:rPr>
      </w:pPr>
    </w:p>
    <w:p w:rsidR="00F0670F" w:rsidRDefault="00F0670F" w:rsidP="00760B91">
      <w:pPr>
        <w:pStyle w:val="ListParagraph"/>
        <w:numPr>
          <w:ilvl w:val="0"/>
          <w:numId w:val="31"/>
        </w:numPr>
        <w:autoSpaceDE w:val="0"/>
        <w:autoSpaceDN w:val="0"/>
        <w:adjustRightInd w:val="0"/>
        <w:ind w:left="720"/>
      </w:pPr>
      <w:r w:rsidRPr="009C5FF5">
        <w:t>The unit was constructed prior to 1978.</w:t>
      </w:r>
    </w:p>
    <w:p w:rsidR="00331487" w:rsidRPr="00E3601B" w:rsidRDefault="00331487" w:rsidP="00331487">
      <w:pPr>
        <w:pStyle w:val="ListParagraph"/>
        <w:rPr>
          <w:sz w:val="16"/>
          <w:szCs w:val="16"/>
        </w:rPr>
      </w:pPr>
    </w:p>
    <w:p w:rsidR="00331487" w:rsidRDefault="00331487" w:rsidP="00760B91">
      <w:pPr>
        <w:pStyle w:val="ListParagraph"/>
        <w:numPr>
          <w:ilvl w:val="0"/>
          <w:numId w:val="31"/>
        </w:numPr>
        <w:autoSpaceDE w:val="0"/>
        <w:autoSpaceDN w:val="0"/>
        <w:adjustRightInd w:val="0"/>
        <w:ind w:left="720"/>
      </w:pPr>
      <w:r>
        <w:t xml:space="preserve">A </w:t>
      </w:r>
      <w:r w:rsidRPr="009C5FF5">
        <w:t>child under the age of six is or will be living in the unit.</w:t>
      </w:r>
    </w:p>
    <w:p w:rsidR="001637C8" w:rsidRDefault="001637C8" w:rsidP="001637C8">
      <w:pPr>
        <w:pStyle w:val="ListParagraph"/>
      </w:pPr>
    </w:p>
    <w:p w:rsidR="001637C8" w:rsidRPr="009C5FF5" w:rsidRDefault="001637C8" w:rsidP="001637C8">
      <w:pPr>
        <w:pStyle w:val="ListParagraph"/>
        <w:autoSpaceDE w:val="0"/>
        <w:autoSpaceDN w:val="0"/>
        <w:adjustRightInd w:val="0"/>
      </w:pPr>
    </w:p>
    <w:p w:rsidR="002E5379" w:rsidRDefault="00F0670F" w:rsidP="00115A08">
      <w:pPr>
        <w:pStyle w:val="NormalWeb"/>
        <w:tabs>
          <w:tab w:val="num" w:pos="0"/>
        </w:tabs>
        <w:spacing w:before="0" w:beforeAutospacing="0"/>
        <w:rPr>
          <w:b/>
          <w:bCs/>
        </w:rPr>
      </w:pPr>
      <w:r w:rsidRPr="009C5FF5">
        <w:rPr>
          <w:color w:val="000000"/>
        </w:rPr>
        <w:lastRenderedPageBreak/>
        <w:t>A visual assessment must be conducted annually. Visual assessments must be conducted by a HUD</w:t>
      </w:r>
      <w:r w:rsidRPr="009C5FF5">
        <w:rPr>
          <w:rFonts w:ascii="Calibri" w:hAnsi="Calibri"/>
          <w:color w:val="000000"/>
        </w:rPr>
        <w:t>‐</w:t>
      </w:r>
      <w:r w:rsidRPr="009C5FF5">
        <w:rPr>
          <w:color w:val="000000"/>
        </w:rPr>
        <w:t>Certified Visual Assessor (</w:t>
      </w:r>
      <w:r w:rsidR="004B01E5">
        <w:rPr>
          <w:color w:val="000000"/>
        </w:rPr>
        <w:t>see Appendix E</w:t>
      </w:r>
      <w:r w:rsidRPr="00734585">
        <w:rPr>
          <w:color w:val="000000"/>
        </w:rPr>
        <w:t>),</w:t>
      </w:r>
      <w:r w:rsidRPr="009C5FF5">
        <w:rPr>
          <w:color w:val="000000"/>
        </w:rPr>
        <w:t xml:space="preserve"> </w:t>
      </w:r>
      <w:r w:rsidRPr="009C5FF5">
        <w:t xml:space="preserve">and must be documented on the HQS or </w:t>
      </w:r>
      <w:r w:rsidR="00342961">
        <w:t>HHS</w:t>
      </w:r>
      <w:r w:rsidRPr="009C5FF5">
        <w:t xml:space="preserve"> and </w:t>
      </w:r>
      <w:r w:rsidR="007B2BD1">
        <w:t>must be readily accessible for review.</w:t>
      </w:r>
    </w:p>
    <w:p w:rsidR="00F0670F" w:rsidRPr="009C5FF5" w:rsidRDefault="00F0670F" w:rsidP="00F0670F">
      <w:pPr>
        <w:autoSpaceDE w:val="0"/>
        <w:autoSpaceDN w:val="0"/>
        <w:adjustRightInd w:val="0"/>
        <w:rPr>
          <w:b/>
          <w:bCs/>
        </w:rPr>
      </w:pPr>
      <w:r w:rsidRPr="009C5FF5">
        <w:rPr>
          <w:b/>
          <w:bCs/>
        </w:rPr>
        <w:t xml:space="preserve">Exceptions to the </w:t>
      </w:r>
      <w:r w:rsidR="0029260C" w:rsidRPr="009C5FF5">
        <w:rPr>
          <w:b/>
        </w:rPr>
        <w:t xml:space="preserve">Lead-Based Paint </w:t>
      </w:r>
      <w:r w:rsidR="00DD71F5">
        <w:rPr>
          <w:b/>
        </w:rPr>
        <w:t>Visual Assessment</w:t>
      </w:r>
      <w:r w:rsidR="0029260C" w:rsidRPr="009C5FF5">
        <w:rPr>
          <w:b/>
        </w:rPr>
        <w:t xml:space="preserve"> </w:t>
      </w:r>
      <w:r w:rsidRPr="009C5FF5">
        <w:rPr>
          <w:b/>
          <w:bCs/>
        </w:rPr>
        <w:t>Requirement</w:t>
      </w:r>
      <w:r w:rsidR="007818F5">
        <w:rPr>
          <w:b/>
          <w:bCs/>
        </w:rPr>
        <w:t>s</w:t>
      </w:r>
    </w:p>
    <w:p w:rsidR="00F0670F" w:rsidRPr="009C5FF5" w:rsidRDefault="00F0670F" w:rsidP="00F0670F">
      <w:pPr>
        <w:autoSpaceDE w:val="0"/>
        <w:autoSpaceDN w:val="0"/>
        <w:adjustRightInd w:val="0"/>
      </w:pPr>
      <w:r w:rsidRPr="009C5FF5">
        <w:t>There are certain exceptions to the requirement. Visual assessments are not triggered under the following circumstances:</w:t>
      </w:r>
    </w:p>
    <w:p w:rsidR="00F0670F" w:rsidRPr="009C5FF5" w:rsidRDefault="00F0670F" w:rsidP="00F0670F">
      <w:pPr>
        <w:autoSpaceDE w:val="0"/>
        <w:autoSpaceDN w:val="0"/>
        <w:adjustRightInd w:val="0"/>
      </w:pPr>
    </w:p>
    <w:p w:rsidR="00F0670F" w:rsidRPr="009C5FF5" w:rsidRDefault="00F0670F" w:rsidP="00760B91">
      <w:pPr>
        <w:pStyle w:val="ListParagraph"/>
        <w:numPr>
          <w:ilvl w:val="0"/>
          <w:numId w:val="21"/>
        </w:numPr>
        <w:autoSpaceDE w:val="0"/>
        <w:autoSpaceDN w:val="0"/>
        <w:adjustRightInd w:val="0"/>
      </w:pPr>
      <w:r w:rsidRPr="009C5FF5">
        <w:t>It is a zero</w:t>
      </w:r>
      <w:r w:rsidRPr="009C5FF5">
        <w:rPr>
          <w:rFonts w:ascii="Calibri" w:hAnsi="Calibri"/>
        </w:rPr>
        <w:t>‐</w:t>
      </w:r>
      <w:r w:rsidRPr="009C5FF5">
        <w:t>bedroom or SRO</w:t>
      </w:r>
      <w:r w:rsidRPr="009C5FF5">
        <w:rPr>
          <w:rFonts w:ascii="Calibri" w:hAnsi="Calibri"/>
        </w:rPr>
        <w:t>‐</w:t>
      </w:r>
      <w:r w:rsidRPr="009C5FF5">
        <w:t>sized unit;</w:t>
      </w:r>
    </w:p>
    <w:p w:rsidR="00F0670F" w:rsidRPr="00331487" w:rsidRDefault="00F0670F" w:rsidP="00F0670F">
      <w:pPr>
        <w:autoSpaceDE w:val="0"/>
        <w:autoSpaceDN w:val="0"/>
        <w:adjustRightInd w:val="0"/>
        <w:ind w:left="720"/>
        <w:rPr>
          <w:sz w:val="16"/>
          <w:szCs w:val="16"/>
        </w:rPr>
      </w:pPr>
    </w:p>
    <w:p w:rsidR="00F0670F" w:rsidRPr="009C5FF5" w:rsidRDefault="00F0670F" w:rsidP="00760B91">
      <w:pPr>
        <w:pStyle w:val="ListParagraph"/>
        <w:numPr>
          <w:ilvl w:val="0"/>
          <w:numId w:val="21"/>
        </w:numPr>
        <w:autoSpaceDE w:val="0"/>
        <w:autoSpaceDN w:val="0"/>
        <w:adjustRightInd w:val="0"/>
      </w:pPr>
      <w:r w:rsidRPr="009C5FF5">
        <w:t>X</w:t>
      </w:r>
      <w:r w:rsidRPr="009C5FF5">
        <w:rPr>
          <w:rFonts w:ascii="Calibri" w:hAnsi="Calibri"/>
        </w:rPr>
        <w:t>‐</w:t>
      </w:r>
      <w:r w:rsidRPr="009C5FF5">
        <w:t>ray or laboratory testing of all painted surfaces by certified personnel has been conducted in accordance with HUD regulations and the unit is officially certified to not contain lead</w:t>
      </w:r>
      <w:r w:rsidRPr="009C5FF5">
        <w:rPr>
          <w:rFonts w:ascii="Calibri" w:hAnsi="Calibri"/>
        </w:rPr>
        <w:t>‐</w:t>
      </w:r>
      <w:r w:rsidRPr="009C5FF5">
        <w:t>based paint;</w:t>
      </w:r>
    </w:p>
    <w:p w:rsidR="00F0670F" w:rsidRPr="00331487" w:rsidRDefault="00F0670F" w:rsidP="00F0670F">
      <w:pPr>
        <w:autoSpaceDE w:val="0"/>
        <w:autoSpaceDN w:val="0"/>
        <w:adjustRightInd w:val="0"/>
        <w:ind w:left="720"/>
        <w:rPr>
          <w:sz w:val="16"/>
          <w:szCs w:val="16"/>
        </w:rPr>
      </w:pPr>
    </w:p>
    <w:p w:rsidR="00F0670F" w:rsidRPr="009C5FF5" w:rsidRDefault="00F0670F" w:rsidP="00760B91">
      <w:pPr>
        <w:pStyle w:val="ListParagraph"/>
        <w:numPr>
          <w:ilvl w:val="0"/>
          <w:numId w:val="21"/>
        </w:numPr>
        <w:autoSpaceDE w:val="0"/>
        <w:autoSpaceDN w:val="0"/>
        <w:adjustRightInd w:val="0"/>
      </w:pPr>
      <w:r w:rsidRPr="009C5FF5">
        <w:t>The property has had all lead</w:t>
      </w:r>
      <w:r w:rsidRPr="009C5FF5">
        <w:rPr>
          <w:rFonts w:ascii="Calibri" w:hAnsi="Calibri"/>
        </w:rPr>
        <w:t>‐</w:t>
      </w:r>
      <w:r w:rsidRPr="009C5FF5">
        <w:t>based paint identified and removed in accordance with HUD regulations;</w:t>
      </w:r>
    </w:p>
    <w:p w:rsidR="00F0670F" w:rsidRPr="00331487" w:rsidRDefault="00F0670F" w:rsidP="00F0670F">
      <w:pPr>
        <w:pStyle w:val="ListParagraph"/>
        <w:rPr>
          <w:sz w:val="16"/>
          <w:szCs w:val="16"/>
        </w:rPr>
      </w:pPr>
    </w:p>
    <w:p w:rsidR="00F0670F" w:rsidRPr="009C5FF5" w:rsidRDefault="00F0670F" w:rsidP="00760B91">
      <w:pPr>
        <w:pStyle w:val="ListParagraph"/>
        <w:numPr>
          <w:ilvl w:val="0"/>
          <w:numId w:val="21"/>
        </w:numPr>
        <w:autoSpaceDE w:val="0"/>
        <w:autoSpaceDN w:val="0"/>
        <w:adjustRightInd w:val="0"/>
      </w:pPr>
      <w:r w:rsidRPr="009C5FF5">
        <w:t>The unit has already undergone a visual assessment within the past 12 months –obtain documentation that a visual assessment has been conducted; or</w:t>
      </w:r>
    </w:p>
    <w:p w:rsidR="00F0670F" w:rsidRPr="00331487" w:rsidRDefault="00F0670F" w:rsidP="00F0670F">
      <w:pPr>
        <w:autoSpaceDE w:val="0"/>
        <w:autoSpaceDN w:val="0"/>
        <w:adjustRightInd w:val="0"/>
        <w:ind w:left="720"/>
        <w:rPr>
          <w:sz w:val="16"/>
          <w:szCs w:val="16"/>
        </w:rPr>
      </w:pPr>
    </w:p>
    <w:p w:rsidR="00F0670F" w:rsidRPr="009C5FF5" w:rsidRDefault="00F0670F" w:rsidP="00760B91">
      <w:pPr>
        <w:pStyle w:val="ListParagraph"/>
        <w:numPr>
          <w:ilvl w:val="0"/>
          <w:numId w:val="21"/>
        </w:numPr>
        <w:autoSpaceDE w:val="0"/>
        <w:autoSpaceDN w:val="0"/>
        <w:adjustRightInd w:val="0"/>
      </w:pPr>
      <w:r w:rsidRPr="009C5FF5">
        <w:t>It meets any of the other exemptions described in 24 CFR Part 35.115(a).</w:t>
      </w:r>
    </w:p>
    <w:p w:rsidR="00F0670F" w:rsidRPr="009C5FF5" w:rsidRDefault="00F0670F" w:rsidP="00F0670F">
      <w:pPr>
        <w:tabs>
          <w:tab w:val="num" w:pos="720"/>
        </w:tabs>
        <w:autoSpaceDE w:val="0"/>
        <w:autoSpaceDN w:val="0"/>
        <w:adjustRightInd w:val="0"/>
        <w:ind w:left="720"/>
      </w:pPr>
    </w:p>
    <w:p w:rsidR="00F0670F" w:rsidRPr="009C5FF5" w:rsidRDefault="00F0670F" w:rsidP="00F0670F">
      <w:pPr>
        <w:autoSpaceDE w:val="0"/>
        <w:autoSpaceDN w:val="0"/>
        <w:adjustRightInd w:val="0"/>
      </w:pPr>
      <w:r w:rsidRPr="009C5FF5">
        <w:t>If any of the conditions outlined above are met, Lead/Sub Grantees need</w:t>
      </w:r>
      <w:r w:rsidR="00926606">
        <w:t>s</w:t>
      </w:r>
      <w:r w:rsidRPr="009C5FF5">
        <w:t xml:space="preserve"> to document</w:t>
      </w:r>
      <w:r w:rsidR="00373706">
        <w:t xml:space="preserve"> </w:t>
      </w:r>
      <w:r w:rsidRPr="009C5FF5">
        <w:t xml:space="preserve">the condition. </w:t>
      </w:r>
    </w:p>
    <w:p w:rsidR="00F0670F" w:rsidRPr="009C5FF5" w:rsidRDefault="00F0670F" w:rsidP="00F0670F">
      <w:pPr>
        <w:autoSpaceDE w:val="0"/>
        <w:autoSpaceDN w:val="0"/>
        <w:adjustRightInd w:val="0"/>
      </w:pPr>
    </w:p>
    <w:p w:rsidR="00F0670F" w:rsidRPr="00734585" w:rsidRDefault="00F0670F" w:rsidP="00F0670F">
      <w:pPr>
        <w:rPr>
          <w:bCs/>
        </w:rPr>
      </w:pPr>
      <w:r w:rsidRPr="009C5FF5">
        <w:rPr>
          <w:color w:val="000000"/>
        </w:rPr>
        <w:t>For a Step-by-Step Guide to Compliance see</w:t>
      </w:r>
      <w:r w:rsidRPr="009C5FF5">
        <w:rPr>
          <w:b/>
          <w:color w:val="000000"/>
        </w:rPr>
        <w:t xml:space="preserve"> </w:t>
      </w:r>
      <w:r w:rsidR="004B01E5">
        <w:rPr>
          <w:color w:val="000000"/>
        </w:rPr>
        <w:t>Appendix E</w:t>
      </w:r>
      <w:r w:rsidRPr="00734585">
        <w:rPr>
          <w:color w:val="000000"/>
        </w:rPr>
        <w:t>.</w:t>
      </w:r>
    </w:p>
    <w:p w:rsidR="00F0670F" w:rsidRDefault="00F0670F" w:rsidP="00E44D03">
      <w:pPr>
        <w:rPr>
          <w:b/>
        </w:rPr>
      </w:pPr>
    </w:p>
    <w:p w:rsidR="000723E5" w:rsidRDefault="000723E5" w:rsidP="00E44D03">
      <w:pPr>
        <w:rPr>
          <w:b/>
        </w:rPr>
      </w:pPr>
      <w:r>
        <w:rPr>
          <w:b/>
        </w:rPr>
        <w:t>M</w:t>
      </w:r>
      <w:r w:rsidR="00DB0315">
        <w:rPr>
          <w:b/>
        </w:rPr>
        <w:t xml:space="preserve">aintenance </w:t>
      </w:r>
      <w:r w:rsidR="009B582C" w:rsidRPr="009B582C">
        <w:rPr>
          <w:b/>
        </w:rPr>
        <w:t>for Facility Support</w:t>
      </w:r>
    </w:p>
    <w:p w:rsidR="00143C46" w:rsidRDefault="009B582C" w:rsidP="00143C46">
      <w:r>
        <w:t>Maintenance activities are cleaning activities; protective or preventative measures to keep a building, its systems</w:t>
      </w:r>
      <w:r w:rsidR="00FE4D2C">
        <w:t>,</w:t>
      </w:r>
      <w:r>
        <w:t xml:space="preserve"> and its grounds in working order</w:t>
      </w:r>
      <w:r w:rsidR="00B774C1">
        <w:t xml:space="preserve"> (see examples below).</w:t>
      </w:r>
      <w:r w:rsidR="008F3A79">
        <w:t xml:space="preserve"> </w:t>
      </w:r>
      <w:r w:rsidR="00143C46">
        <w:t xml:space="preserve">Maintenance </w:t>
      </w:r>
      <w:r w:rsidR="00CD2EEB">
        <w:t xml:space="preserve">activities </w:t>
      </w:r>
      <w:r w:rsidR="00143C46">
        <w:t xml:space="preserve">should fix, but not </w:t>
      </w:r>
      <w:r w:rsidR="00CD2EEB">
        <w:t xml:space="preserve">make </w:t>
      </w:r>
      <w:r w:rsidR="00134C5C">
        <w:t>improvements</w:t>
      </w:r>
      <w:r w:rsidR="00CD2EEB">
        <w:t xml:space="preserve"> t</w:t>
      </w:r>
      <w:r w:rsidR="00143C46">
        <w:t>hat wou</w:t>
      </w:r>
      <w:r w:rsidR="002A2ADC">
        <w:t xml:space="preserve">ld add value to the building. </w:t>
      </w:r>
      <w:r w:rsidR="00EB37AB">
        <w:t>Building rehabilitation is not an acceptable cost.</w:t>
      </w:r>
    </w:p>
    <w:p w:rsidR="00CD2EEB" w:rsidRDefault="00CD2EEB" w:rsidP="00143C46"/>
    <w:p w:rsidR="00C05206" w:rsidRDefault="008F3A79" w:rsidP="00120173">
      <w:r>
        <w:t xml:space="preserve">Maintenance activities do </w:t>
      </w:r>
      <w:r w:rsidRPr="00495FEC">
        <w:t>not</w:t>
      </w:r>
      <w:r>
        <w:t xml:space="preserve"> include t</w:t>
      </w:r>
      <w:r w:rsidR="009E794E">
        <w:t xml:space="preserve">he repair or replacement of </w:t>
      </w:r>
      <w:r>
        <w:t>fixture</w:t>
      </w:r>
      <w:r w:rsidR="009E794E">
        <w:t>s</w:t>
      </w:r>
      <w:r w:rsidR="00CD2EEB">
        <w:t xml:space="preserve"> or parts of the building</w:t>
      </w:r>
      <w:r w:rsidR="009E794E">
        <w:t>.</w:t>
      </w:r>
      <w:r w:rsidR="00C05206">
        <w:t xml:space="preserve">  </w:t>
      </w:r>
      <w:r w:rsidR="009B582C">
        <w:t>A fixture is an object that is physically attached to the building and cannot be removed without damage to the building</w:t>
      </w:r>
      <w:r w:rsidR="002A2ADC">
        <w:t>.</w:t>
      </w:r>
      <w:r w:rsidR="00CD2EEB">
        <w:t xml:space="preserve"> </w:t>
      </w:r>
      <w:r w:rsidR="002A2ADC">
        <w:t>Fixtures also include but are not limited to kitchen cabinets, built in shelves, toilets, light fixtures, staircases, crown molding, sinks and bathtubs. Maintenance activities do not include s</w:t>
      </w:r>
      <w:r w:rsidR="009B582C">
        <w:t xml:space="preserve">ystems designed for occupant comfort and safety </w:t>
      </w:r>
      <w:r w:rsidR="00CD2EEB">
        <w:t xml:space="preserve">such as </w:t>
      </w:r>
      <w:r w:rsidR="009B582C">
        <w:t>HVAC, electrical or mechanical systems, sanitation, fire suppression, and plumbing</w:t>
      </w:r>
      <w:r w:rsidR="002A2ADC">
        <w:t>.</w:t>
      </w:r>
      <w:r w:rsidR="00C05206">
        <w:t xml:space="preserve">  </w:t>
      </w:r>
    </w:p>
    <w:p w:rsidR="00E3601B" w:rsidRDefault="00E3601B">
      <w:pPr>
        <w:rPr>
          <w:b/>
        </w:rPr>
      </w:pPr>
      <w:r>
        <w:rPr>
          <w:b/>
        </w:rPr>
        <w:br w:type="page"/>
      </w:r>
    </w:p>
    <w:p w:rsidR="009B582C" w:rsidRDefault="009B582C" w:rsidP="00120173">
      <w:pPr>
        <w:rPr>
          <w:b/>
        </w:rPr>
      </w:pPr>
      <w:r>
        <w:rPr>
          <w:b/>
        </w:rPr>
        <w:lastRenderedPageBreak/>
        <w:t>Examples of Maintenance Activities</w:t>
      </w:r>
    </w:p>
    <w:tbl>
      <w:tblPr>
        <w:tblW w:w="10044" w:type="dxa"/>
        <w:jc w:val="right"/>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3420"/>
        <w:gridCol w:w="3744"/>
      </w:tblGrid>
      <w:tr w:rsidR="009B582C" w:rsidRPr="00901863" w:rsidTr="00115A08">
        <w:trPr>
          <w:jc w:val="right"/>
        </w:trPr>
        <w:tc>
          <w:tcPr>
            <w:tcW w:w="2880" w:type="dxa"/>
          </w:tcPr>
          <w:p w:rsidR="009B582C" w:rsidRPr="00901863" w:rsidRDefault="009B582C" w:rsidP="00120173">
            <w:pPr>
              <w:rPr>
                <w:rFonts w:eastAsia="Calibri"/>
                <w:b/>
                <w:sz w:val="22"/>
                <w:szCs w:val="22"/>
              </w:rPr>
            </w:pPr>
            <w:r w:rsidRPr="00901863">
              <w:rPr>
                <w:rFonts w:eastAsia="Calibri"/>
                <w:b/>
                <w:sz w:val="22"/>
                <w:szCs w:val="22"/>
              </w:rPr>
              <w:t>Cleaning Activities</w:t>
            </w:r>
          </w:p>
        </w:tc>
        <w:tc>
          <w:tcPr>
            <w:tcW w:w="3420" w:type="dxa"/>
          </w:tcPr>
          <w:p w:rsidR="009B582C" w:rsidRPr="00901863" w:rsidRDefault="009B582C" w:rsidP="00120173">
            <w:pPr>
              <w:rPr>
                <w:rFonts w:eastAsia="Calibri"/>
                <w:b/>
                <w:sz w:val="20"/>
                <w:szCs w:val="20"/>
              </w:rPr>
            </w:pPr>
            <w:r w:rsidRPr="00901863">
              <w:rPr>
                <w:rFonts w:eastAsia="Calibri"/>
                <w:b/>
                <w:sz w:val="22"/>
                <w:szCs w:val="22"/>
              </w:rPr>
              <w:t>Protective Measures</w:t>
            </w:r>
            <w:r w:rsidRPr="00901863">
              <w:rPr>
                <w:rFonts w:eastAsia="Calibri"/>
                <w:sz w:val="20"/>
                <w:szCs w:val="20"/>
              </w:rPr>
              <w:t xml:space="preserve"> or preventative measures to keep a building, its systems, and its grounds in</w:t>
            </w:r>
            <w:r w:rsidR="00543348" w:rsidRPr="00901863">
              <w:rPr>
                <w:rFonts w:eastAsia="Calibri"/>
                <w:sz w:val="20"/>
                <w:szCs w:val="20"/>
              </w:rPr>
              <w:t xml:space="preserve"> </w:t>
            </w:r>
            <w:r w:rsidRPr="00901863">
              <w:rPr>
                <w:rFonts w:eastAsia="Calibri"/>
                <w:sz w:val="20"/>
                <w:szCs w:val="20"/>
              </w:rPr>
              <w:t>working order</w:t>
            </w:r>
          </w:p>
        </w:tc>
        <w:tc>
          <w:tcPr>
            <w:tcW w:w="3744" w:type="dxa"/>
          </w:tcPr>
          <w:p w:rsidR="00901863" w:rsidRPr="00901863" w:rsidRDefault="009B582C" w:rsidP="00901863">
            <w:pPr>
              <w:rPr>
                <w:rFonts w:eastAsia="Calibri"/>
                <w:b/>
                <w:sz w:val="20"/>
                <w:szCs w:val="20"/>
              </w:rPr>
            </w:pPr>
            <w:r w:rsidRPr="00901863">
              <w:rPr>
                <w:rFonts w:eastAsia="Calibri"/>
                <w:b/>
                <w:sz w:val="22"/>
                <w:szCs w:val="22"/>
              </w:rPr>
              <w:t xml:space="preserve">Replacing </w:t>
            </w:r>
            <w:r w:rsidRPr="00901863">
              <w:rPr>
                <w:rFonts w:eastAsia="Calibri"/>
                <w:b/>
                <w:sz w:val="22"/>
                <w:szCs w:val="22"/>
                <w:u w:val="single"/>
              </w:rPr>
              <w:t>Existing</w:t>
            </w:r>
            <w:r w:rsidRPr="00901863">
              <w:rPr>
                <w:rFonts w:eastAsia="Calibri"/>
                <w:b/>
                <w:sz w:val="22"/>
                <w:szCs w:val="22"/>
              </w:rPr>
              <w:t xml:space="preserve"> Appliances or Objects That are Not Fixtures or Part of the Building</w:t>
            </w:r>
            <w:r w:rsidR="00CD2EEB" w:rsidRPr="00901863">
              <w:rPr>
                <w:rFonts w:eastAsia="Calibri"/>
                <w:b/>
                <w:sz w:val="22"/>
                <w:szCs w:val="22"/>
              </w:rPr>
              <w:t>.</w:t>
            </w:r>
            <w:r w:rsidR="00CD2EEB" w:rsidRPr="00901863">
              <w:rPr>
                <w:rFonts w:eastAsia="Calibri"/>
                <w:b/>
                <w:sz w:val="20"/>
                <w:szCs w:val="20"/>
              </w:rPr>
              <w:t xml:space="preserve"> </w:t>
            </w:r>
            <w:r w:rsidR="00AF00B1" w:rsidRPr="00901863">
              <w:rPr>
                <w:rFonts w:eastAsia="Calibri"/>
                <w:sz w:val="20"/>
                <w:szCs w:val="20"/>
              </w:rPr>
              <w:t>(See preceding paragraph for definition of “fixtures</w:t>
            </w:r>
            <w:r w:rsidR="00125C66" w:rsidRPr="00901863">
              <w:rPr>
                <w:rFonts w:eastAsia="Calibri"/>
                <w:sz w:val="20"/>
                <w:szCs w:val="20"/>
              </w:rPr>
              <w:t>”</w:t>
            </w:r>
            <w:r w:rsidR="00AF00B1" w:rsidRPr="00901863">
              <w:rPr>
                <w:rFonts w:eastAsia="Calibri"/>
                <w:sz w:val="20"/>
                <w:szCs w:val="20"/>
              </w:rPr>
              <w:t>.)</w:t>
            </w:r>
          </w:p>
        </w:tc>
      </w:tr>
      <w:tr w:rsidR="009B582C" w:rsidRPr="00901863" w:rsidTr="00115A08">
        <w:trPr>
          <w:jc w:val="right"/>
        </w:trPr>
        <w:tc>
          <w:tcPr>
            <w:tcW w:w="2880" w:type="dxa"/>
          </w:tcPr>
          <w:p w:rsidR="009B582C" w:rsidRPr="00901863" w:rsidRDefault="00C05206" w:rsidP="009B582C">
            <w:pPr>
              <w:rPr>
                <w:rFonts w:eastAsia="Calibri"/>
                <w:sz w:val="20"/>
                <w:szCs w:val="20"/>
              </w:rPr>
            </w:pPr>
            <w:r w:rsidRPr="00901863">
              <w:rPr>
                <w:rFonts w:eastAsia="Calibri"/>
                <w:sz w:val="20"/>
                <w:szCs w:val="20"/>
              </w:rPr>
              <w:t>C</w:t>
            </w:r>
            <w:r w:rsidR="009B582C" w:rsidRPr="00901863">
              <w:rPr>
                <w:rFonts w:eastAsia="Calibri"/>
                <w:sz w:val="20"/>
                <w:szCs w:val="20"/>
              </w:rPr>
              <w:t>leaning gutters and down</w:t>
            </w:r>
          </w:p>
          <w:p w:rsidR="009B582C" w:rsidRPr="00901863" w:rsidRDefault="006A4CE8" w:rsidP="009B582C">
            <w:pPr>
              <w:rPr>
                <w:rFonts w:eastAsia="Calibri"/>
                <w:sz w:val="20"/>
                <w:szCs w:val="20"/>
              </w:rPr>
            </w:pPr>
            <w:r w:rsidRPr="00901863">
              <w:rPr>
                <w:rFonts w:eastAsia="Calibri"/>
                <w:sz w:val="20"/>
                <w:szCs w:val="20"/>
              </w:rPr>
              <w:t>S</w:t>
            </w:r>
            <w:r w:rsidR="009B582C" w:rsidRPr="00901863">
              <w:rPr>
                <w:rFonts w:eastAsia="Calibri"/>
                <w:sz w:val="20"/>
                <w:szCs w:val="20"/>
              </w:rPr>
              <w:t>pouts</w:t>
            </w:r>
          </w:p>
        </w:tc>
        <w:tc>
          <w:tcPr>
            <w:tcW w:w="3420" w:type="dxa"/>
          </w:tcPr>
          <w:p w:rsidR="009B582C" w:rsidRPr="00901863" w:rsidRDefault="00901863" w:rsidP="009B582C">
            <w:pPr>
              <w:rPr>
                <w:rFonts w:eastAsia="Calibri"/>
                <w:sz w:val="20"/>
                <w:szCs w:val="20"/>
              </w:rPr>
            </w:pPr>
            <w:r w:rsidRPr="00901863">
              <w:rPr>
                <w:rFonts w:eastAsia="Calibri"/>
                <w:sz w:val="20"/>
                <w:szCs w:val="20"/>
              </w:rPr>
              <w:t>F</w:t>
            </w:r>
            <w:r w:rsidR="009B582C" w:rsidRPr="00901863">
              <w:rPr>
                <w:rFonts w:eastAsia="Calibri"/>
                <w:sz w:val="20"/>
                <w:szCs w:val="20"/>
              </w:rPr>
              <w:t>ixing gutters or floors</w:t>
            </w:r>
          </w:p>
        </w:tc>
        <w:tc>
          <w:tcPr>
            <w:tcW w:w="3744" w:type="dxa"/>
          </w:tcPr>
          <w:p w:rsidR="009B582C" w:rsidRPr="00901863" w:rsidRDefault="00901863" w:rsidP="00AD1E98">
            <w:pPr>
              <w:rPr>
                <w:rFonts w:eastAsia="Calibri"/>
                <w:sz w:val="20"/>
                <w:szCs w:val="20"/>
              </w:rPr>
            </w:pPr>
            <w:r w:rsidRPr="00901863">
              <w:rPr>
                <w:rFonts w:eastAsia="Calibri"/>
                <w:sz w:val="20"/>
                <w:szCs w:val="20"/>
              </w:rPr>
              <w:t>K</w:t>
            </w:r>
            <w:r w:rsidR="009B582C" w:rsidRPr="00901863">
              <w:rPr>
                <w:rFonts w:eastAsia="Calibri"/>
                <w:sz w:val="20"/>
                <w:szCs w:val="20"/>
              </w:rPr>
              <w:t>itchen appliances where removal would not cause any damage (</w:t>
            </w:r>
            <w:r w:rsidR="00BA124B">
              <w:rPr>
                <w:rFonts w:eastAsia="Calibri"/>
                <w:sz w:val="20"/>
                <w:szCs w:val="20"/>
              </w:rPr>
              <w:t xml:space="preserve">for example dishwashers, </w:t>
            </w:r>
            <w:r w:rsidR="009B582C" w:rsidRPr="00901863">
              <w:rPr>
                <w:rFonts w:eastAsia="Calibri"/>
                <w:sz w:val="20"/>
                <w:szCs w:val="20"/>
              </w:rPr>
              <w:t>stoves, refrigerators)</w:t>
            </w:r>
          </w:p>
        </w:tc>
      </w:tr>
      <w:tr w:rsidR="009B582C" w:rsidRPr="00901863" w:rsidTr="00115A08">
        <w:trPr>
          <w:jc w:val="right"/>
        </w:trPr>
        <w:tc>
          <w:tcPr>
            <w:tcW w:w="2880" w:type="dxa"/>
          </w:tcPr>
          <w:p w:rsidR="009B582C" w:rsidRPr="00901863" w:rsidRDefault="00C05206" w:rsidP="009B582C">
            <w:pPr>
              <w:rPr>
                <w:rFonts w:eastAsia="Calibri"/>
                <w:sz w:val="20"/>
                <w:szCs w:val="20"/>
              </w:rPr>
            </w:pPr>
            <w:r w:rsidRPr="00901863">
              <w:rPr>
                <w:rFonts w:eastAsia="Calibri"/>
                <w:sz w:val="20"/>
                <w:szCs w:val="20"/>
              </w:rPr>
              <w:t>L</w:t>
            </w:r>
            <w:r w:rsidR="009B582C" w:rsidRPr="00901863">
              <w:rPr>
                <w:rFonts w:eastAsia="Calibri"/>
                <w:sz w:val="20"/>
                <w:szCs w:val="20"/>
              </w:rPr>
              <w:t>awn care (litter pickup, mowing, raking)</w:t>
            </w:r>
          </w:p>
        </w:tc>
        <w:tc>
          <w:tcPr>
            <w:tcW w:w="3420" w:type="dxa"/>
          </w:tcPr>
          <w:p w:rsidR="009B582C" w:rsidRPr="00901863" w:rsidRDefault="00901863" w:rsidP="009B582C">
            <w:pPr>
              <w:rPr>
                <w:rFonts w:eastAsia="Calibri"/>
                <w:sz w:val="20"/>
                <w:szCs w:val="20"/>
              </w:rPr>
            </w:pPr>
            <w:r w:rsidRPr="00901863">
              <w:rPr>
                <w:rFonts w:eastAsia="Calibri"/>
                <w:sz w:val="20"/>
                <w:szCs w:val="20"/>
              </w:rPr>
              <w:t>M</w:t>
            </w:r>
            <w:r w:rsidR="009B582C" w:rsidRPr="00901863">
              <w:rPr>
                <w:rFonts w:eastAsia="Calibri"/>
                <w:sz w:val="20"/>
                <w:szCs w:val="20"/>
              </w:rPr>
              <w:t>ending cracked plaster</w:t>
            </w:r>
          </w:p>
        </w:tc>
        <w:tc>
          <w:tcPr>
            <w:tcW w:w="3744" w:type="dxa"/>
          </w:tcPr>
          <w:p w:rsidR="009B582C" w:rsidRPr="00901863" w:rsidRDefault="00901863" w:rsidP="009B582C">
            <w:pPr>
              <w:rPr>
                <w:rFonts w:eastAsia="Calibri"/>
                <w:sz w:val="20"/>
                <w:szCs w:val="20"/>
              </w:rPr>
            </w:pPr>
            <w:r w:rsidRPr="00901863">
              <w:rPr>
                <w:rFonts w:eastAsia="Calibri"/>
                <w:sz w:val="20"/>
                <w:szCs w:val="20"/>
              </w:rPr>
              <w:t>L</w:t>
            </w:r>
            <w:r w:rsidR="009B582C" w:rsidRPr="00901863">
              <w:rPr>
                <w:rFonts w:eastAsia="Calibri"/>
                <w:sz w:val="20"/>
                <w:szCs w:val="20"/>
              </w:rPr>
              <w:t>ight bulbs</w:t>
            </w:r>
          </w:p>
        </w:tc>
      </w:tr>
      <w:tr w:rsidR="009B582C" w:rsidRPr="00901863" w:rsidTr="00115A08">
        <w:trPr>
          <w:jc w:val="right"/>
        </w:trPr>
        <w:tc>
          <w:tcPr>
            <w:tcW w:w="2880" w:type="dxa"/>
          </w:tcPr>
          <w:p w:rsidR="009B582C" w:rsidRPr="00901863" w:rsidRDefault="00C05206" w:rsidP="00EE51FF">
            <w:pPr>
              <w:pStyle w:val="ListParagraph"/>
              <w:numPr>
                <w:ilvl w:val="0"/>
                <w:numId w:val="10"/>
              </w:numPr>
              <w:ind w:left="0" w:hanging="180"/>
              <w:contextualSpacing/>
              <w:rPr>
                <w:rFonts w:eastAsia="Calibri"/>
                <w:sz w:val="20"/>
                <w:szCs w:val="20"/>
              </w:rPr>
            </w:pPr>
            <w:r w:rsidRPr="00901863">
              <w:rPr>
                <w:rFonts w:eastAsia="Calibri"/>
                <w:sz w:val="20"/>
                <w:szCs w:val="20"/>
              </w:rPr>
              <w:t>C</w:t>
            </w:r>
            <w:r w:rsidR="009B582C" w:rsidRPr="00901863">
              <w:rPr>
                <w:rFonts w:eastAsia="Calibri"/>
                <w:sz w:val="20"/>
                <w:szCs w:val="20"/>
              </w:rPr>
              <w:t>leaning interior or exterior of building*</w:t>
            </w:r>
          </w:p>
        </w:tc>
        <w:tc>
          <w:tcPr>
            <w:tcW w:w="3420" w:type="dxa"/>
          </w:tcPr>
          <w:p w:rsidR="009B582C" w:rsidRPr="00901863" w:rsidRDefault="009B582C" w:rsidP="00EE51FF">
            <w:pPr>
              <w:pStyle w:val="ListParagraph"/>
              <w:numPr>
                <w:ilvl w:val="0"/>
                <w:numId w:val="10"/>
              </w:numPr>
              <w:ind w:left="-58"/>
              <w:contextualSpacing/>
              <w:rPr>
                <w:rFonts w:eastAsia="Calibri"/>
                <w:sz w:val="20"/>
                <w:szCs w:val="20"/>
              </w:rPr>
            </w:pPr>
            <w:r w:rsidRPr="00901863">
              <w:rPr>
                <w:rFonts w:eastAsia="Calibri"/>
                <w:sz w:val="20"/>
                <w:szCs w:val="20"/>
              </w:rPr>
              <w:t xml:space="preserve"> </w:t>
            </w:r>
            <w:r w:rsidR="00901863" w:rsidRPr="00901863">
              <w:rPr>
                <w:rFonts w:eastAsia="Calibri"/>
                <w:sz w:val="20"/>
                <w:szCs w:val="20"/>
              </w:rPr>
              <w:t>F</w:t>
            </w:r>
            <w:r w:rsidRPr="00901863">
              <w:rPr>
                <w:rFonts w:eastAsia="Calibri"/>
                <w:sz w:val="20"/>
                <w:szCs w:val="20"/>
              </w:rPr>
              <w:t>ix roofing or plumbing leaks</w:t>
            </w:r>
          </w:p>
        </w:tc>
        <w:tc>
          <w:tcPr>
            <w:tcW w:w="3744" w:type="dxa"/>
          </w:tcPr>
          <w:p w:rsidR="009B582C" w:rsidRPr="00901863" w:rsidRDefault="00901863" w:rsidP="00901863">
            <w:pPr>
              <w:pStyle w:val="ListParagraph"/>
              <w:ind w:left="-18"/>
              <w:contextualSpacing/>
              <w:rPr>
                <w:rFonts w:eastAsia="Calibri"/>
                <w:sz w:val="20"/>
                <w:szCs w:val="20"/>
              </w:rPr>
            </w:pPr>
            <w:r w:rsidRPr="00901863">
              <w:rPr>
                <w:rFonts w:eastAsia="Calibri"/>
                <w:sz w:val="20"/>
                <w:szCs w:val="20"/>
              </w:rPr>
              <w:t>W</w:t>
            </w:r>
            <w:r w:rsidR="009B582C" w:rsidRPr="00901863">
              <w:rPr>
                <w:rFonts w:eastAsia="Calibri"/>
                <w:sz w:val="20"/>
                <w:szCs w:val="20"/>
              </w:rPr>
              <w:t>ashing and dry</w:t>
            </w:r>
            <w:r w:rsidR="00AF00B1" w:rsidRPr="00901863">
              <w:rPr>
                <w:rFonts w:eastAsia="Calibri"/>
                <w:sz w:val="20"/>
                <w:szCs w:val="20"/>
              </w:rPr>
              <w:t>ing</w:t>
            </w:r>
            <w:r w:rsidR="009B582C" w:rsidRPr="00901863">
              <w:rPr>
                <w:rFonts w:eastAsia="Calibri"/>
                <w:sz w:val="20"/>
                <w:szCs w:val="20"/>
              </w:rPr>
              <w:t xml:space="preserve"> machines</w:t>
            </w:r>
          </w:p>
        </w:tc>
      </w:tr>
      <w:tr w:rsidR="009B582C" w:rsidRPr="00901863" w:rsidTr="00115A08">
        <w:trPr>
          <w:jc w:val="right"/>
        </w:trPr>
        <w:tc>
          <w:tcPr>
            <w:tcW w:w="2880" w:type="dxa"/>
          </w:tcPr>
          <w:p w:rsidR="009B582C" w:rsidRPr="00901863" w:rsidRDefault="00C05206" w:rsidP="00C05206">
            <w:pPr>
              <w:contextualSpacing/>
              <w:rPr>
                <w:rFonts w:eastAsia="Calibri"/>
                <w:sz w:val="20"/>
                <w:szCs w:val="20"/>
              </w:rPr>
            </w:pPr>
            <w:r w:rsidRPr="00901863">
              <w:rPr>
                <w:rFonts w:eastAsia="Calibri"/>
                <w:sz w:val="20"/>
                <w:szCs w:val="20"/>
              </w:rPr>
              <w:t>W</w:t>
            </w:r>
            <w:r w:rsidR="009B582C" w:rsidRPr="00901863">
              <w:rPr>
                <w:rFonts w:eastAsia="Calibri"/>
                <w:sz w:val="20"/>
                <w:szCs w:val="20"/>
              </w:rPr>
              <w:t>ashing windows</w:t>
            </w:r>
          </w:p>
        </w:tc>
        <w:tc>
          <w:tcPr>
            <w:tcW w:w="3420" w:type="dxa"/>
          </w:tcPr>
          <w:p w:rsidR="009B582C" w:rsidRPr="00901863" w:rsidRDefault="00901863" w:rsidP="00901863">
            <w:pPr>
              <w:contextualSpacing/>
              <w:rPr>
                <w:rFonts w:eastAsia="Calibri"/>
                <w:sz w:val="20"/>
                <w:szCs w:val="20"/>
              </w:rPr>
            </w:pPr>
            <w:r w:rsidRPr="00901863">
              <w:rPr>
                <w:rFonts w:eastAsia="Calibri"/>
                <w:sz w:val="20"/>
                <w:szCs w:val="20"/>
              </w:rPr>
              <w:t>C</w:t>
            </w:r>
            <w:r w:rsidR="009B582C" w:rsidRPr="00901863">
              <w:rPr>
                <w:rFonts w:eastAsia="Calibri"/>
                <w:sz w:val="20"/>
                <w:szCs w:val="20"/>
              </w:rPr>
              <w:t xml:space="preserve">aulking, weather stripping, </w:t>
            </w:r>
          </w:p>
          <w:p w:rsidR="009B582C" w:rsidRPr="00901863" w:rsidRDefault="009B582C" w:rsidP="002B2010">
            <w:pPr>
              <w:ind w:left="-18"/>
              <w:rPr>
                <w:rFonts w:eastAsia="Calibri"/>
                <w:sz w:val="20"/>
                <w:szCs w:val="20"/>
              </w:rPr>
            </w:pPr>
            <w:r w:rsidRPr="00901863">
              <w:rPr>
                <w:rFonts w:eastAsia="Calibri"/>
                <w:sz w:val="20"/>
                <w:szCs w:val="20"/>
              </w:rPr>
              <w:t>re-glazing</w:t>
            </w:r>
          </w:p>
        </w:tc>
        <w:tc>
          <w:tcPr>
            <w:tcW w:w="3744" w:type="dxa"/>
          </w:tcPr>
          <w:p w:rsidR="009B582C" w:rsidRPr="00901863" w:rsidRDefault="00901863" w:rsidP="00901863">
            <w:pPr>
              <w:contextualSpacing/>
              <w:rPr>
                <w:rFonts w:eastAsia="Calibri"/>
                <w:sz w:val="20"/>
                <w:szCs w:val="20"/>
              </w:rPr>
            </w:pPr>
            <w:r w:rsidRPr="00901863">
              <w:rPr>
                <w:rFonts w:eastAsia="Calibri"/>
                <w:sz w:val="20"/>
                <w:szCs w:val="20"/>
              </w:rPr>
              <w:t>Ai</w:t>
            </w:r>
            <w:r w:rsidR="009B582C" w:rsidRPr="00901863">
              <w:rPr>
                <w:rFonts w:eastAsia="Calibri"/>
                <w:sz w:val="20"/>
                <w:szCs w:val="20"/>
              </w:rPr>
              <w:t>r filters</w:t>
            </w:r>
          </w:p>
        </w:tc>
      </w:tr>
      <w:tr w:rsidR="009B582C" w:rsidRPr="00901863" w:rsidTr="00115A08">
        <w:trPr>
          <w:jc w:val="right"/>
        </w:trPr>
        <w:tc>
          <w:tcPr>
            <w:tcW w:w="2880" w:type="dxa"/>
          </w:tcPr>
          <w:p w:rsidR="009B582C" w:rsidRPr="00901863" w:rsidRDefault="00C05206" w:rsidP="00C05206">
            <w:pPr>
              <w:contextualSpacing/>
              <w:rPr>
                <w:rFonts w:eastAsia="Calibri"/>
                <w:sz w:val="20"/>
                <w:szCs w:val="20"/>
              </w:rPr>
            </w:pPr>
            <w:r w:rsidRPr="00901863">
              <w:rPr>
                <w:rFonts w:eastAsia="Calibri"/>
                <w:sz w:val="20"/>
                <w:szCs w:val="20"/>
              </w:rPr>
              <w:t>T</w:t>
            </w:r>
            <w:r w:rsidR="009B582C" w:rsidRPr="00901863">
              <w:rPr>
                <w:rFonts w:eastAsia="Calibri"/>
                <w:sz w:val="20"/>
                <w:szCs w:val="20"/>
              </w:rPr>
              <w:t>rash collection</w:t>
            </w:r>
          </w:p>
        </w:tc>
        <w:tc>
          <w:tcPr>
            <w:tcW w:w="3420" w:type="dxa"/>
          </w:tcPr>
          <w:p w:rsidR="009B582C" w:rsidRPr="00901863" w:rsidRDefault="00901863" w:rsidP="00901863">
            <w:pPr>
              <w:contextualSpacing/>
              <w:rPr>
                <w:rFonts w:eastAsia="Calibri"/>
                <w:sz w:val="20"/>
                <w:szCs w:val="20"/>
              </w:rPr>
            </w:pPr>
            <w:r w:rsidRPr="00901863">
              <w:rPr>
                <w:rFonts w:eastAsia="Calibri"/>
                <w:sz w:val="20"/>
                <w:szCs w:val="20"/>
              </w:rPr>
              <w:t>R</w:t>
            </w:r>
            <w:r w:rsidR="009B582C" w:rsidRPr="00901863">
              <w:rPr>
                <w:rFonts w:eastAsia="Calibri"/>
                <w:sz w:val="20"/>
                <w:szCs w:val="20"/>
              </w:rPr>
              <w:t xml:space="preserve">eapplication of protective </w:t>
            </w:r>
          </w:p>
          <w:p w:rsidR="009B582C" w:rsidRPr="00901863" w:rsidRDefault="002660EB" w:rsidP="002B2010">
            <w:pPr>
              <w:ind w:left="-18"/>
              <w:rPr>
                <w:rFonts w:eastAsia="Calibri"/>
                <w:sz w:val="20"/>
                <w:szCs w:val="20"/>
              </w:rPr>
            </w:pPr>
            <w:r w:rsidRPr="00901863">
              <w:rPr>
                <w:rFonts w:eastAsia="Calibri"/>
                <w:sz w:val="20"/>
                <w:szCs w:val="20"/>
              </w:rPr>
              <w:t>C</w:t>
            </w:r>
            <w:r w:rsidR="009B582C" w:rsidRPr="00901863">
              <w:rPr>
                <w:rFonts w:eastAsia="Calibri"/>
                <w:sz w:val="20"/>
                <w:szCs w:val="20"/>
              </w:rPr>
              <w:t>oatings</w:t>
            </w:r>
          </w:p>
        </w:tc>
        <w:tc>
          <w:tcPr>
            <w:tcW w:w="3744" w:type="dxa"/>
          </w:tcPr>
          <w:p w:rsidR="009B582C" w:rsidRPr="00901863" w:rsidRDefault="00901863" w:rsidP="00901863">
            <w:pPr>
              <w:tabs>
                <w:tab w:val="left" w:pos="168"/>
              </w:tabs>
              <w:rPr>
                <w:rFonts w:eastAsia="Calibri"/>
                <w:sz w:val="20"/>
                <w:szCs w:val="20"/>
              </w:rPr>
            </w:pPr>
            <w:r w:rsidRPr="00901863">
              <w:rPr>
                <w:rFonts w:eastAsia="Calibri"/>
                <w:sz w:val="20"/>
                <w:szCs w:val="20"/>
              </w:rPr>
              <w:t>HV</w:t>
            </w:r>
            <w:r w:rsidR="009B582C" w:rsidRPr="00901863">
              <w:rPr>
                <w:rFonts w:eastAsia="Calibri"/>
                <w:sz w:val="20"/>
                <w:szCs w:val="20"/>
              </w:rPr>
              <w:t>AC window unit</w:t>
            </w:r>
          </w:p>
        </w:tc>
      </w:tr>
      <w:tr w:rsidR="009B582C" w:rsidRPr="00901863" w:rsidTr="00115A08">
        <w:trPr>
          <w:jc w:val="right"/>
        </w:trPr>
        <w:tc>
          <w:tcPr>
            <w:tcW w:w="2880" w:type="dxa"/>
          </w:tcPr>
          <w:p w:rsidR="009B582C" w:rsidRPr="00901863" w:rsidRDefault="00C05206" w:rsidP="00C05206">
            <w:pPr>
              <w:contextualSpacing/>
              <w:rPr>
                <w:rFonts w:eastAsia="Calibri"/>
                <w:sz w:val="20"/>
                <w:szCs w:val="20"/>
              </w:rPr>
            </w:pPr>
            <w:r w:rsidRPr="00901863">
              <w:rPr>
                <w:rFonts w:eastAsia="Calibri"/>
                <w:sz w:val="20"/>
                <w:szCs w:val="20"/>
              </w:rPr>
              <w:t>T</w:t>
            </w:r>
            <w:r w:rsidR="009B582C" w:rsidRPr="00901863">
              <w:rPr>
                <w:rFonts w:eastAsia="Calibri"/>
                <w:sz w:val="20"/>
                <w:szCs w:val="20"/>
              </w:rPr>
              <w:t>rim trees and shrubs</w:t>
            </w:r>
          </w:p>
        </w:tc>
        <w:tc>
          <w:tcPr>
            <w:tcW w:w="3420" w:type="dxa"/>
          </w:tcPr>
          <w:p w:rsidR="009B582C" w:rsidRPr="00901863" w:rsidRDefault="00901863" w:rsidP="00901863">
            <w:pPr>
              <w:contextualSpacing/>
              <w:rPr>
                <w:rFonts w:eastAsia="Calibri"/>
                <w:sz w:val="20"/>
                <w:szCs w:val="20"/>
              </w:rPr>
            </w:pPr>
            <w:r w:rsidRPr="00901863">
              <w:rPr>
                <w:rFonts w:eastAsia="Calibri"/>
                <w:sz w:val="20"/>
                <w:szCs w:val="20"/>
              </w:rPr>
              <w:t>P</w:t>
            </w:r>
            <w:r w:rsidR="009B582C" w:rsidRPr="00901863">
              <w:rPr>
                <w:rFonts w:eastAsia="Calibri"/>
                <w:sz w:val="20"/>
                <w:szCs w:val="20"/>
              </w:rPr>
              <w:t xml:space="preserve">lywood, alarm systems, </w:t>
            </w:r>
          </w:p>
          <w:p w:rsidR="009B582C" w:rsidRPr="00901863" w:rsidRDefault="009B582C" w:rsidP="002B2010">
            <w:pPr>
              <w:ind w:left="-18"/>
              <w:rPr>
                <w:rFonts w:eastAsia="Calibri"/>
                <w:sz w:val="20"/>
                <w:szCs w:val="20"/>
              </w:rPr>
            </w:pPr>
            <w:r w:rsidRPr="00901863">
              <w:rPr>
                <w:rFonts w:eastAsia="Calibri"/>
                <w:sz w:val="20"/>
                <w:szCs w:val="20"/>
              </w:rPr>
              <w:t>or temporary fencing</w:t>
            </w:r>
          </w:p>
        </w:tc>
        <w:tc>
          <w:tcPr>
            <w:tcW w:w="3744" w:type="dxa"/>
          </w:tcPr>
          <w:p w:rsidR="009B582C" w:rsidRPr="00901863" w:rsidRDefault="001B0164" w:rsidP="009B582C">
            <w:pPr>
              <w:rPr>
                <w:rFonts w:eastAsia="Calibri"/>
                <w:sz w:val="20"/>
                <w:szCs w:val="20"/>
              </w:rPr>
            </w:pPr>
            <w:r>
              <w:rPr>
                <w:rFonts w:eastAsia="Calibri"/>
                <w:sz w:val="20"/>
                <w:szCs w:val="20"/>
              </w:rPr>
              <w:t>Furniture</w:t>
            </w:r>
          </w:p>
        </w:tc>
      </w:tr>
      <w:tr w:rsidR="009B582C" w:rsidRPr="00901863" w:rsidTr="00115A08">
        <w:trPr>
          <w:jc w:val="right"/>
        </w:trPr>
        <w:tc>
          <w:tcPr>
            <w:tcW w:w="2880" w:type="dxa"/>
          </w:tcPr>
          <w:p w:rsidR="009B582C" w:rsidRPr="00901863" w:rsidRDefault="00C05206" w:rsidP="00C05206">
            <w:pPr>
              <w:contextualSpacing/>
              <w:rPr>
                <w:rFonts w:eastAsia="Calibri"/>
                <w:sz w:val="20"/>
                <w:szCs w:val="20"/>
              </w:rPr>
            </w:pPr>
            <w:r w:rsidRPr="00901863">
              <w:rPr>
                <w:rFonts w:eastAsia="Calibri"/>
                <w:sz w:val="20"/>
                <w:szCs w:val="20"/>
              </w:rPr>
              <w:t>S</w:t>
            </w:r>
            <w:r w:rsidR="009B582C" w:rsidRPr="00901863">
              <w:rPr>
                <w:rFonts w:eastAsia="Calibri"/>
                <w:sz w:val="20"/>
                <w:szCs w:val="20"/>
              </w:rPr>
              <w:t>now/ice removal</w:t>
            </w:r>
          </w:p>
        </w:tc>
        <w:tc>
          <w:tcPr>
            <w:tcW w:w="3420" w:type="dxa"/>
          </w:tcPr>
          <w:p w:rsidR="009B582C" w:rsidRPr="00901863" w:rsidRDefault="00901863" w:rsidP="00901863">
            <w:pPr>
              <w:contextualSpacing/>
              <w:rPr>
                <w:rFonts w:eastAsia="Calibri"/>
                <w:sz w:val="20"/>
                <w:szCs w:val="20"/>
              </w:rPr>
            </w:pPr>
            <w:r w:rsidRPr="00901863">
              <w:rPr>
                <w:rFonts w:eastAsia="Calibri"/>
                <w:sz w:val="20"/>
                <w:szCs w:val="20"/>
              </w:rPr>
              <w:t>R</w:t>
            </w:r>
            <w:r w:rsidR="009B582C" w:rsidRPr="00901863">
              <w:rPr>
                <w:rFonts w:eastAsia="Calibri"/>
                <w:sz w:val="20"/>
                <w:szCs w:val="20"/>
              </w:rPr>
              <w:t xml:space="preserve">epainting previously </w:t>
            </w:r>
          </w:p>
          <w:p w:rsidR="009B582C" w:rsidRPr="00901863" w:rsidRDefault="009B582C" w:rsidP="009B582C">
            <w:pPr>
              <w:rPr>
                <w:rFonts w:eastAsia="Calibri"/>
                <w:sz w:val="20"/>
                <w:szCs w:val="20"/>
              </w:rPr>
            </w:pPr>
            <w:r w:rsidRPr="00901863">
              <w:rPr>
                <w:rFonts w:eastAsia="Calibri"/>
                <w:sz w:val="20"/>
                <w:szCs w:val="20"/>
              </w:rPr>
              <w:t>painted surface (including limited scraping)*</w:t>
            </w:r>
          </w:p>
        </w:tc>
        <w:tc>
          <w:tcPr>
            <w:tcW w:w="3744" w:type="dxa"/>
          </w:tcPr>
          <w:p w:rsidR="009B582C" w:rsidRPr="00901863" w:rsidRDefault="009B582C" w:rsidP="009B582C">
            <w:pPr>
              <w:rPr>
                <w:rFonts w:eastAsia="Calibri"/>
                <w:sz w:val="20"/>
                <w:szCs w:val="20"/>
              </w:rPr>
            </w:pPr>
          </w:p>
        </w:tc>
      </w:tr>
      <w:tr w:rsidR="009B582C" w:rsidRPr="00901863" w:rsidTr="00115A08">
        <w:trPr>
          <w:jc w:val="right"/>
        </w:trPr>
        <w:tc>
          <w:tcPr>
            <w:tcW w:w="2880" w:type="dxa"/>
          </w:tcPr>
          <w:p w:rsidR="009B582C" w:rsidRPr="00901863" w:rsidRDefault="00C05206" w:rsidP="00C05206">
            <w:pPr>
              <w:contextualSpacing/>
              <w:rPr>
                <w:rFonts w:eastAsia="Calibri"/>
                <w:sz w:val="20"/>
                <w:szCs w:val="20"/>
              </w:rPr>
            </w:pPr>
            <w:r w:rsidRPr="00901863">
              <w:rPr>
                <w:rFonts w:eastAsia="Calibri"/>
                <w:sz w:val="20"/>
                <w:szCs w:val="20"/>
              </w:rPr>
              <w:t>U</w:t>
            </w:r>
            <w:r w:rsidR="009B582C" w:rsidRPr="00901863">
              <w:rPr>
                <w:rFonts w:eastAsia="Calibri"/>
                <w:sz w:val="20"/>
                <w:szCs w:val="20"/>
              </w:rPr>
              <w:t>nclog sink and toilet</w:t>
            </w:r>
          </w:p>
        </w:tc>
        <w:tc>
          <w:tcPr>
            <w:tcW w:w="3420" w:type="dxa"/>
          </w:tcPr>
          <w:p w:rsidR="009B582C" w:rsidRPr="00901863" w:rsidRDefault="00901863" w:rsidP="00901863">
            <w:pPr>
              <w:contextualSpacing/>
              <w:rPr>
                <w:rFonts w:eastAsia="Calibri"/>
                <w:sz w:val="20"/>
                <w:szCs w:val="20"/>
              </w:rPr>
            </w:pPr>
            <w:r w:rsidRPr="00901863">
              <w:rPr>
                <w:rFonts w:eastAsia="Calibri"/>
                <w:sz w:val="20"/>
                <w:szCs w:val="20"/>
              </w:rPr>
              <w:t>W</w:t>
            </w:r>
            <w:r w:rsidR="009B582C" w:rsidRPr="00901863">
              <w:rPr>
                <w:rFonts w:eastAsia="Calibri"/>
                <w:sz w:val="20"/>
                <w:szCs w:val="20"/>
              </w:rPr>
              <w:t>aterproofing (sealant)</w:t>
            </w:r>
          </w:p>
        </w:tc>
        <w:tc>
          <w:tcPr>
            <w:tcW w:w="3744" w:type="dxa"/>
          </w:tcPr>
          <w:p w:rsidR="009B582C" w:rsidRPr="00901863" w:rsidRDefault="009B582C" w:rsidP="009B582C">
            <w:pPr>
              <w:rPr>
                <w:rFonts w:eastAsia="Calibri"/>
                <w:sz w:val="20"/>
                <w:szCs w:val="20"/>
              </w:rPr>
            </w:pPr>
          </w:p>
        </w:tc>
      </w:tr>
      <w:tr w:rsidR="009B582C" w:rsidRPr="00901863" w:rsidTr="00115A08">
        <w:trPr>
          <w:jc w:val="right"/>
        </w:trPr>
        <w:tc>
          <w:tcPr>
            <w:tcW w:w="2880" w:type="dxa"/>
          </w:tcPr>
          <w:p w:rsidR="009B582C" w:rsidRPr="00901863" w:rsidRDefault="00C05206" w:rsidP="00C05206">
            <w:pPr>
              <w:contextualSpacing/>
              <w:rPr>
                <w:rFonts w:eastAsia="Calibri"/>
                <w:sz w:val="20"/>
                <w:szCs w:val="20"/>
              </w:rPr>
            </w:pPr>
            <w:r w:rsidRPr="00901863">
              <w:rPr>
                <w:rFonts w:eastAsia="Calibri"/>
                <w:sz w:val="20"/>
                <w:szCs w:val="20"/>
              </w:rPr>
              <w:t>N</w:t>
            </w:r>
            <w:r w:rsidR="009B582C" w:rsidRPr="00901863">
              <w:rPr>
                <w:rFonts w:eastAsia="Calibri"/>
                <w:sz w:val="20"/>
                <w:szCs w:val="20"/>
              </w:rPr>
              <w:t>eighborhood cleanup</w:t>
            </w:r>
          </w:p>
        </w:tc>
        <w:tc>
          <w:tcPr>
            <w:tcW w:w="3420" w:type="dxa"/>
          </w:tcPr>
          <w:p w:rsidR="009B582C" w:rsidRPr="00901863" w:rsidRDefault="00901863" w:rsidP="00901863">
            <w:pPr>
              <w:contextualSpacing/>
              <w:rPr>
                <w:rFonts w:eastAsia="Calibri"/>
                <w:sz w:val="20"/>
                <w:szCs w:val="20"/>
              </w:rPr>
            </w:pPr>
            <w:r w:rsidRPr="00901863">
              <w:rPr>
                <w:rFonts w:eastAsia="Calibri"/>
                <w:sz w:val="20"/>
                <w:szCs w:val="20"/>
              </w:rPr>
              <w:t>S</w:t>
            </w:r>
            <w:r w:rsidR="009B582C" w:rsidRPr="00901863">
              <w:rPr>
                <w:rFonts w:eastAsia="Calibri"/>
                <w:sz w:val="20"/>
                <w:szCs w:val="20"/>
              </w:rPr>
              <w:t xml:space="preserve">ervicing and maintenance </w:t>
            </w:r>
          </w:p>
          <w:p w:rsidR="009B582C" w:rsidRPr="00901863" w:rsidRDefault="009B582C" w:rsidP="009B582C">
            <w:pPr>
              <w:rPr>
                <w:rFonts w:eastAsia="Calibri"/>
                <w:sz w:val="20"/>
                <w:szCs w:val="20"/>
              </w:rPr>
            </w:pPr>
            <w:r w:rsidRPr="00901863">
              <w:rPr>
                <w:rFonts w:eastAsia="Calibri"/>
                <w:sz w:val="20"/>
                <w:szCs w:val="20"/>
              </w:rPr>
              <w:t>of mechanical systems</w:t>
            </w:r>
          </w:p>
        </w:tc>
        <w:tc>
          <w:tcPr>
            <w:tcW w:w="3744" w:type="dxa"/>
          </w:tcPr>
          <w:p w:rsidR="009B582C" w:rsidRPr="00901863" w:rsidRDefault="009B582C" w:rsidP="009B582C">
            <w:pPr>
              <w:rPr>
                <w:rFonts w:eastAsia="Calibri"/>
                <w:sz w:val="20"/>
                <w:szCs w:val="20"/>
              </w:rPr>
            </w:pPr>
          </w:p>
        </w:tc>
      </w:tr>
    </w:tbl>
    <w:p w:rsidR="00AF00B1" w:rsidRPr="00901863" w:rsidRDefault="00AF00B1" w:rsidP="009B582C">
      <w:pPr>
        <w:rPr>
          <w:sz w:val="16"/>
          <w:szCs w:val="16"/>
        </w:rPr>
      </w:pPr>
    </w:p>
    <w:p w:rsidR="009939C7" w:rsidRDefault="009B582C" w:rsidP="009B582C">
      <w:pPr>
        <w:rPr>
          <w:sz w:val="22"/>
          <w:szCs w:val="22"/>
        </w:rPr>
      </w:pPr>
      <w:r w:rsidRPr="00120173">
        <w:rPr>
          <w:sz w:val="22"/>
          <w:szCs w:val="22"/>
        </w:rPr>
        <w:t>*Non-destructive methods only (e.g., no sandblasting or high pressure spraying).</w:t>
      </w:r>
    </w:p>
    <w:p w:rsidR="006C6269" w:rsidRPr="00F40A85" w:rsidRDefault="006C6269" w:rsidP="009B582C"/>
    <w:p w:rsidR="0017538D" w:rsidRDefault="0017538D" w:rsidP="0029260C">
      <w:pPr>
        <w:shd w:val="clear" w:color="auto" w:fill="C6D9F1" w:themeFill="text2" w:themeFillTint="33"/>
        <w:rPr>
          <w:b/>
          <w:bCs/>
        </w:rPr>
      </w:pPr>
      <w:r>
        <w:rPr>
          <w:b/>
          <w:bCs/>
        </w:rPr>
        <w:t xml:space="preserve">Program Operations </w:t>
      </w:r>
    </w:p>
    <w:p w:rsidR="0029260C" w:rsidRDefault="0029260C" w:rsidP="0029260C">
      <w:pPr>
        <w:shd w:val="clear" w:color="auto" w:fill="FFFFFF" w:themeFill="background1"/>
      </w:pPr>
    </w:p>
    <w:p w:rsidR="00462286" w:rsidRPr="00462286" w:rsidRDefault="00462286" w:rsidP="0029260C">
      <w:pPr>
        <w:shd w:val="clear" w:color="auto" w:fill="FFFFFF" w:themeFill="background1"/>
        <w:rPr>
          <w:b/>
        </w:rPr>
      </w:pPr>
      <w:r>
        <w:rPr>
          <w:b/>
        </w:rPr>
        <w:t>Allowable Expenses</w:t>
      </w:r>
    </w:p>
    <w:p w:rsidR="0017538D" w:rsidRDefault="0017538D" w:rsidP="00495FEC">
      <w:r>
        <w:rPr>
          <w:color w:val="000000"/>
        </w:rPr>
        <w:t>Operations are costs specifically attributed to case managers</w:t>
      </w:r>
      <w:r w:rsidR="00752C10">
        <w:rPr>
          <w:color w:val="000000"/>
        </w:rPr>
        <w:t xml:space="preserve">, outreach workers, </w:t>
      </w:r>
      <w:r w:rsidR="007A4930">
        <w:rPr>
          <w:color w:val="000000"/>
        </w:rPr>
        <w:t xml:space="preserve">and/or </w:t>
      </w:r>
      <w:r w:rsidR="00752C10">
        <w:rPr>
          <w:color w:val="000000"/>
        </w:rPr>
        <w:t>housing locators</w:t>
      </w:r>
      <w:r w:rsidR="00723431">
        <w:rPr>
          <w:color w:val="000000"/>
        </w:rPr>
        <w:t xml:space="preserve"> </w:t>
      </w:r>
      <w:r w:rsidR="007A4930">
        <w:rPr>
          <w:color w:val="000000"/>
        </w:rPr>
        <w:t xml:space="preserve">(and their supervisors); </w:t>
      </w:r>
      <w:r>
        <w:rPr>
          <w:color w:val="000000"/>
        </w:rPr>
        <w:t xml:space="preserve">and other related personnel </w:t>
      </w:r>
      <w:r w:rsidR="009E0164">
        <w:rPr>
          <w:color w:val="000000"/>
        </w:rPr>
        <w:t xml:space="preserve">(such as </w:t>
      </w:r>
      <w:r w:rsidR="008C64A6">
        <w:rPr>
          <w:color w:val="000000"/>
        </w:rPr>
        <w:t>staff who check in</w:t>
      </w:r>
      <w:r w:rsidR="00404048">
        <w:rPr>
          <w:color w:val="000000"/>
        </w:rPr>
        <w:t xml:space="preserve"> shelter clients</w:t>
      </w:r>
      <w:r w:rsidR="008C64A6">
        <w:rPr>
          <w:color w:val="000000"/>
        </w:rPr>
        <w:t xml:space="preserve">, staff the overnight </w:t>
      </w:r>
      <w:r w:rsidR="00404048">
        <w:rPr>
          <w:color w:val="000000"/>
        </w:rPr>
        <w:t xml:space="preserve">shelter </w:t>
      </w:r>
      <w:r w:rsidR="008C64A6">
        <w:rPr>
          <w:color w:val="000000"/>
        </w:rPr>
        <w:t xml:space="preserve">hours and </w:t>
      </w:r>
      <w:r w:rsidR="00404048">
        <w:rPr>
          <w:color w:val="000000"/>
        </w:rPr>
        <w:t xml:space="preserve">day time </w:t>
      </w:r>
      <w:r w:rsidR="008C64A6">
        <w:rPr>
          <w:color w:val="000000"/>
        </w:rPr>
        <w:t xml:space="preserve">activities) </w:t>
      </w:r>
      <w:r>
        <w:rPr>
          <w:color w:val="000000"/>
        </w:rPr>
        <w:t>and costs specifically related to the CHG</w:t>
      </w:r>
      <w:r w:rsidR="00723431">
        <w:rPr>
          <w:color w:val="000000"/>
        </w:rPr>
        <w:t xml:space="preserve"> such as</w:t>
      </w:r>
      <w:r w:rsidR="00FA52E1">
        <w:t xml:space="preserve"> s</w:t>
      </w:r>
      <w:r>
        <w:t>alaries and benefits</w:t>
      </w:r>
      <w:r w:rsidR="00854E4B">
        <w:t xml:space="preserve"> for: </w:t>
      </w:r>
    </w:p>
    <w:p w:rsidR="00C6548A" w:rsidRDefault="00C6548A" w:rsidP="00C6548A">
      <w:pPr>
        <w:pStyle w:val="ListParagraph"/>
        <w:tabs>
          <w:tab w:val="left" w:pos="1080"/>
          <w:tab w:val="left" w:pos="1440"/>
          <w:tab w:val="left" w:pos="2250"/>
        </w:tabs>
        <w:ind w:left="0"/>
      </w:pPr>
    </w:p>
    <w:p w:rsidR="00FA700F" w:rsidRDefault="00DA5D4D" w:rsidP="00760B91">
      <w:pPr>
        <w:pStyle w:val="ListParagraph"/>
        <w:numPr>
          <w:ilvl w:val="0"/>
          <w:numId w:val="30"/>
        </w:numPr>
        <w:tabs>
          <w:tab w:val="left" w:pos="720"/>
        </w:tabs>
        <w:ind w:left="720"/>
      </w:pPr>
      <w:r w:rsidRPr="008E0810">
        <w:t>Housing Stability</w:t>
      </w:r>
      <w:r w:rsidR="0029260C" w:rsidRPr="008E0810">
        <w:t>.</w:t>
      </w:r>
      <w:r w:rsidR="0029260C">
        <w:t xml:space="preserve">  I</w:t>
      </w:r>
      <w:r w:rsidR="00483DD4">
        <w:t>ncludes activities for the arrangement, coordination, monitoring, and delivery of services related to meeting the housing needs of households and helping them obtain housing stability. Servi</w:t>
      </w:r>
      <w:r w:rsidR="008E0810">
        <w:t xml:space="preserve">ces and activities may include:  </w:t>
      </w:r>
      <w:r w:rsidR="00483DD4">
        <w:t>developing, securing, and coordinating services</w:t>
      </w:r>
      <w:r w:rsidR="00F355A8">
        <w:t xml:space="preserve"> </w:t>
      </w:r>
      <w:r w:rsidR="00F355A8" w:rsidRPr="004E0994">
        <w:t xml:space="preserve">including </w:t>
      </w:r>
      <w:r w:rsidR="003B4DFD" w:rsidRPr="00A5082F">
        <w:rPr>
          <w:bCs/>
        </w:rPr>
        <w:t xml:space="preserve">SSI/SSDI through </w:t>
      </w:r>
      <w:hyperlink r:id="rId20" w:history="1">
        <w:r w:rsidR="003B4DFD" w:rsidRPr="004E0994">
          <w:rPr>
            <w:rStyle w:val="Hyperlink"/>
            <w:bCs/>
          </w:rPr>
          <w:t>SSI/SSDI Outreach, Access, and Recovery</w:t>
        </w:r>
        <w:r w:rsidR="003B4DFD" w:rsidRPr="004E0994">
          <w:rPr>
            <w:rStyle w:val="Hyperlink"/>
          </w:rPr>
          <w:t xml:space="preserve"> (</w:t>
        </w:r>
        <w:r w:rsidR="00F355A8" w:rsidRPr="004E0994">
          <w:rPr>
            <w:rStyle w:val="Hyperlink"/>
          </w:rPr>
          <w:t>SOAR</w:t>
        </w:r>
        <w:r w:rsidR="003B4DFD" w:rsidRPr="004E0994">
          <w:rPr>
            <w:rStyle w:val="Hyperlink"/>
          </w:rPr>
          <w:t>)</w:t>
        </w:r>
      </w:hyperlink>
      <w:r w:rsidR="003B4DFD" w:rsidRPr="004E0994">
        <w:t xml:space="preserve"> activities</w:t>
      </w:r>
      <w:r w:rsidR="00F355A8" w:rsidRPr="004E0994">
        <w:t xml:space="preserve"> and</w:t>
      </w:r>
      <w:r w:rsidR="003B4DFD" w:rsidRPr="004E0994">
        <w:t xml:space="preserve"> case management activities related to accessing Work Source employment services</w:t>
      </w:r>
      <w:r w:rsidR="00483DD4" w:rsidRPr="004E0994">
        <w:t>;</w:t>
      </w:r>
      <w:r w:rsidR="00483DD4" w:rsidRPr="003C7DCE">
        <w:t xml:space="preserve"> monitoring</w:t>
      </w:r>
      <w:r w:rsidR="00483DD4">
        <w:t xml:space="preserve"> and evaluating household progress; assuring that households' rights are protected; and developing an individualized housing and service plan, including a path to permanent housing stability subsequent to assistance.</w:t>
      </w:r>
    </w:p>
    <w:p w:rsidR="00311843" w:rsidRDefault="00311843" w:rsidP="00311843">
      <w:pPr>
        <w:pStyle w:val="ListParagraph"/>
        <w:tabs>
          <w:tab w:val="left" w:pos="720"/>
        </w:tabs>
      </w:pPr>
    </w:p>
    <w:p w:rsidR="00E3601B" w:rsidRDefault="00FA700F" w:rsidP="00760B91">
      <w:pPr>
        <w:pStyle w:val="ListParagraph"/>
        <w:numPr>
          <w:ilvl w:val="0"/>
          <w:numId w:val="30"/>
        </w:numPr>
        <w:tabs>
          <w:tab w:val="left" w:pos="720"/>
        </w:tabs>
        <w:ind w:left="720"/>
      </w:pPr>
      <w:r>
        <w:t>Housing stability for TANF eligible households.</w:t>
      </w:r>
    </w:p>
    <w:p w:rsidR="00E3601B" w:rsidRPr="00F40A85" w:rsidRDefault="00E3601B" w:rsidP="00E3601B">
      <w:pPr>
        <w:pStyle w:val="ListParagraph"/>
        <w:rPr>
          <w:sz w:val="16"/>
          <w:szCs w:val="16"/>
        </w:rPr>
      </w:pPr>
    </w:p>
    <w:p w:rsidR="00FA700F" w:rsidRDefault="00FA700F" w:rsidP="00760B91">
      <w:pPr>
        <w:pStyle w:val="ListParagraph"/>
        <w:numPr>
          <w:ilvl w:val="0"/>
          <w:numId w:val="49"/>
        </w:numPr>
        <w:tabs>
          <w:tab w:val="left" w:pos="720"/>
        </w:tabs>
        <w:ind w:left="1170"/>
      </w:pPr>
      <w:r>
        <w:t>When homeless families are identified in shelter that are likely to be TANF eligible, but are not currently on TANF</w:t>
      </w:r>
      <w:r w:rsidR="00311843">
        <w:t>,</w:t>
      </w:r>
      <w:r>
        <w:t xml:space="preserve"> the </w:t>
      </w:r>
      <w:r w:rsidR="00765537" w:rsidRPr="009B760F">
        <w:rPr>
          <w:bCs/>
        </w:rPr>
        <w:t>Lead/Sub Grantees</w:t>
      </w:r>
      <w:r w:rsidR="00765537">
        <w:t xml:space="preserve"> </w:t>
      </w:r>
      <w:r>
        <w:t xml:space="preserve">shall refer the client to their local Community Services Office or instruct them to complete an on-line application </w:t>
      </w:r>
      <w:r>
        <w:lastRenderedPageBreak/>
        <w:t>(</w:t>
      </w:r>
      <w:hyperlink r:id="rId21" w:history="1">
        <w:r w:rsidRPr="0042642D">
          <w:rPr>
            <w:rStyle w:val="Hyperlink"/>
          </w:rPr>
          <w:t>https://www.washingtonconnection.org/home/</w:t>
        </w:r>
      </w:hyperlink>
      <w:r>
        <w:t>) within 2 business days of shelter enrollment.</w:t>
      </w:r>
    </w:p>
    <w:p w:rsidR="00E3601B" w:rsidRPr="00E3601B" w:rsidRDefault="00E3601B" w:rsidP="00E3601B">
      <w:pPr>
        <w:pStyle w:val="ListParagraph"/>
        <w:tabs>
          <w:tab w:val="left" w:pos="720"/>
        </w:tabs>
        <w:ind w:left="1170"/>
        <w:rPr>
          <w:sz w:val="16"/>
          <w:szCs w:val="16"/>
        </w:rPr>
      </w:pPr>
    </w:p>
    <w:p w:rsidR="00FA700F" w:rsidRDefault="00765537" w:rsidP="00760B91">
      <w:pPr>
        <w:pStyle w:val="ListParagraph"/>
        <w:numPr>
          <w:ilvl w:val="0"/>
          <w:numId w:val="49"/>
        </w:numPr>
        <w:tabs>
          <w:tab w:val="left" w:pos="720"/>
        </w:tabs>
        <w:ind w:left="1170"/>
      </w:pPr>
      <w:r>
        <w:t xml:space="preserve">For already identified TANF families, </w:t>
      </w:r>
      <w:r w:rsidRPr="009B760F">
        <w:rPr>
          <w:bCs/>
        </w:rPr>
        <w:t>Lead/Sub Grantees</w:t>
      </w:r>
      <w:r>
        <w:t xml:space="preserve"> should</w:t>
      </w:r>
      <w:r w:rsidR="00FA700F">
        <w:t xml:space="preserve"> actively participate with </w:t>
      </w:r>
      <w:r>
        <w:t>DSHS</w:t>
      </w:r>
      <w:r w:rsidR="00FA700F">
        <w:t xml:space="preserve"> WorkFirst program specialists and employment partners to assist clients in ending their homelessness and becoming </w:t>
      </w:r>
      <w:r>
        <w:t>self-sufficient</w:t>
      </w:r>
      <w:r w:rsidR="00FA700F">
        <w:t xml:space="preserve">. </w:t>
      </w:r>
    </w:p>
    <w:p w:rsidR="00483DD4" w:rsidRPr="00331487" w:rsidRDefault="00483DD4" w:rsidP="0029260C">
      <w:pPr>
        <w:pStyle w:val="ListParagraph"/>
        <w:tabs>
          <w:tab w:val="left" w:pos="720"/>
        </w:tabs>
        <w:ind w:hanging="360"/>
        <w:rPr>
          <w:sz w:val="16"/>
          <w:szCs w:val="16"/>
        </w:rPr>
      </w:pPr>
    </w:p>
    <w:p w:rsidR="00483DD4" w:rsidRDefault="00483DD4" w:rsidP="00760B91">
      <w:pPr>
        <w:pStyle w:val="ListParagraph"/>
        <w:numPr>
          <w:ilvl w:val="0"/>
          <w:numId w:val="30"/>
        </w:numPr>
        <w:tabs>
          <w:tab w:val="left" w:pos="720"/>
        </w:tabs>
        <w:ind w:left="720"/>
      </w:pPr>
      <w:r>
        <w:t>Housing search and placement</w:t>
      </w:r>
      <w:r w:rsidR="0029260C">
        <w:t>.  I</w:t>
      </w:r>
      <w:r>
        <w:t xml:space="preserve">ncludes </w:t>
      </w:r>
      <w:r>
        <w:rPr>
          <w:bCs/>
        </w:rPr>
        <w:t>s</w:t>
      </w:r>
      <w:r>
        <w:t>ervices or activities designed to assist individuals or households in locating, obtaining, and retaining suitable housing. Services or activities may include: tenant counseling, assisting individuals and households to understand leases, securing utilities, making moving arrangements, representative payee services concerning rent and utilities, and mediation and outreach to property owners related to locating or retaining housing.</w:t>
      </w:r>
    </w:p>
    <w:p w:rsidR="00483DD4" w:rsidRPr="00331487" w:rsidRDefault="00483DD4" w:rsidP="0029260C">
      <w:pPr>
        <w:pStyle w:val="ListParagraph"/>
        <w:tabs>
          <w:tab w:val="left" w:pos="720"/>
        </w:tabs>
        <w:ind w:hanging="360"/>
        <w:rPr>
          <w:sz w:val="16"/>
          <w:szCs w:val="16"/>
        </w:rPr>
      </w:pPr>
    </w:p>
    <w:p w:rsidR="00483DD4" w:rsidRDefault="00483DD4" w:rsidP="00760B91">
      <w:pPr>
        <w:pStyle w:val="ListParagraph"/>
        <w:numPr>
          <w:ilvl w:val="0"/>
          <w:numId w:val="30"/>
        </w:numPr>
        <w:tabs>
          <w:tab w:val="left" w:pos="720"/>
        </w:tabs>
        <w:ind w:left="720"/>
      </w:pPr>
      <w:r>
        <w:t>Outreach</w:t>
      </w:r>
      <w:r w:rsidR="0029260C">
        <w:t>.  I</w:t>
      </w:r>
      <w:r>
        <w:t>ncludes</w:t>
      </w:r>
      <w:r w:rsidRPr="00483DD4">
        <w:t xml:space="preserve"> </w:t>
      </w:r>
      <w:r>
        <w:t>services or assistance designed to publicize the availability of programs to make persons who are homeless or almost homeless aware of these and other available services and programs. Not all households assessed will be eligible for assistance. Time spent assessing a household is an eligible expense under this activity.</w:t>
      </w:r>
    </w:p>
    <w:p w:rsidR="00483DD4" w:rsidRPr="00331487" w:rsidRDefault="00483DD4" w:rsidP="00483DD4">
      <w:pPr>
        <w:pStyle w:val="ListParagraph"/>
        <w:tabs>
          <w:tab w:val="left" w:pos="1080"/>
          <w:tab w:val="left" w:pos="1440"/>
        </w:tabs>
        <w:rPr>
          <w:sz w:val="16"/>
          <w:szCs w:val="16"/>
        </w:rPr>
      </w:pPr>
    </w:p>
    <w:p w:rsidR="008E0810" w:rsidRDefault="0017538D" w:rsidP="00EE51FF">
      <w:pPr>
        <w:pStyle w:val="ListParagraph"/>
        <w:numPr>
          <w:ilvl w:val="0"/>
          <w:numId w:val="8"/>
        </w:numPr>
        <w:tabs>
          <w:tab w:val="left" w:pos="1080"/>
          <w:tab w:val="left" w:pos="1440"/>
          <w:tab w:val="left" w:pos="2250"/>
        </w:tabs>
        <w:ind w:left="720"/>
      </w:pPr>
      <w:r>
        <w:t xml:space="preserve">Inspections </w:t>
      </w:r>
      <w:r w:rsidRPr="009C5FF5">
        <w:t>(</w:t>
      </w:r>
      <w:r w:rsidR="00F974E3" w:rsidRPr="009C5FF5">
        <w:t xml:space="preserve">see </w:t>
      </w:r>
      <w:r w:rsidR="0070281C">
        <w:t>Housing Inspections and Lead-Base Paint Visual Assessments sections</w:t>
      </w:r>
      <w:r w:rsidRPr="009C5FF5">
        <w:t>)</w:t>
      </w:r>
    </w:p>
    <w:p w:rsidR="008F1230" w:rsidRPr="00E3601B" w:rsidRDefault="008F1230" w:rsidP="008F1230">
      <w:pPr>
        <w:pStyle w:val="ListParagraph"/>
        <w:tabs>
          <w:tab w:val="left" w:pos="1080"/>
          <w:tab w:val="left" w:pos="1440"/>
          <w:tab w:val="left" w:pos="2250"/>
        </w:tabs>
        <w:rPr>
          <w:sz w:val="16"/>
          <w:szCs w:val="16"/>
        </w:rPr>
      </w:pPr>
    </w:p>
    <w:p w:rsidR="008F1230" w:rsidRDefault="008F1230" w:rsidP="00EE51FF">
      <w:pPr>
        <w:pStyle w:val="ListParagraph"/>
        <w:numPr>
          <w:ilvl w:val="0"/>
          <w:numId w:val="8"/>
        </w:numPr>
        <w:tabs>
          <w:tab w:val="left" w:pos="1080"/>
          <w:tab w:val="left" w:pos="1440"/>
          <w:tab w:val="left" w:pos="2250"/>
        </w:tabs>
        <w:ind w:left="720"/>
      </w:pPr>
      <w:r w:rsidRPr="00E3601B">
        <w:t>Data</w:t>
      </w:r>
      <w:r>
        <w:t xml:space="preserve"> collection and entry</w:t>
      </w:r>
    </w:p>
    <w:p w:rsidR="00DA5D4D" w:rsidRPr="00E3601B" w:rsidRDefault="00DA5D4D" w:rsidP="008F1230">
      <w:pPr>
        <w:pStyle w:val="ListParagraph"/>
        <w:tabs>
          <w:tab w:val="left" w:pos="1080"/>
          <w:tab w:val="left" w:pos="1440"/>
          <w:tab w:val="left" w:pos="2250"/>
        </w:tabs>
        <w:rPr>
          <w:sz w:val="16"/>
          <w:szCs w:val="16"/>
        </w:rPr>
      </w:pPr>
    </w:p>
    <w:p w:rsidR="00DA5D4D" w:rsidRDefault="007B2DE5" w:rsidP="00EE51FF">
      <w:pPr>
        <w:pStyle w:val="ListParagraph"/>
        <w:numPr>
          <w:ilvl w:val="0"/>
          <w:numId w:val="8"/>
        </w:numPr>
        <w:tabs>
          <w:tab w:val="left" w:pos="1080"/>
          <w:tab w:val="left" w:pos="1440"/>
        </w:tabs>
        <w:ind w:left="720"/>
      </w:pPr>
      <w:r>
        <w:t>Salaries/benefits to monitor Sub G</w:t>
      </w:r>
      <w:r w:rsidR="00DA5D4D">
        <w:t>rantees (or can charge in Administrati</w:t>
      </w:r>
      <w:r w:rsidR="00C72F5A">
        <w:t>on</w:t>
      </w:r>
      <w:r w:rsidR="004D270D">
        <w:t>)</w:t>
      </w:r>
    </w:p>
    <w:p w:rsidR="00854E4B" w:rsidRPr="00331487" w:rsidRDefault="00854E4B" w:rsidP="00B20D0A">
      <w:pPr>
        <w:tabs>
          <w:tab w:val="left" w:pos="1080"/>
          <w:tab w:val="left" w:pos="1440"/>
        </w:tabs>
        <w:rPr>
          <w:sz w:val="16"/>
          <w:szCs w:val="16"/>
        </w:rPr>
      </w:pPr>
      <w:r>
        <w:t xml:space="preserve"> </w:t>
      </w:r>
    </w:p>
    <w:p w:rsidR="0017538D" w:rsidRDefault="0017538D" w:rsidP="00EE51FF">
      <w:pPr>
        <w:pStyle w:val="ListParagraph"/>
        <w:numPr>
          <w:ilvl w:val="0"/>
          <w:numId w:val="8"/>
        </w:numPr>
        <w:tabs>
          <w:tab w:val="left" w:pos="1080"/>
          <w:tab w:val="left" w:pos="1440"/>
          <w:tab w:val="left" w:pos="2250"/>
        </w:tabs>
        <w:ind w:left="720"/>
      </w:pPr>
      <w:r>
        <w:t>Staff</w:t>
      </w:r>
      <w:r w:rsidR="00483DD4">
        <w:t xml:space="preserve"> costs to issue rent assistance.</w:t>
      </w:r>
      <w:r w:rsidR="00483DD4" w:rsidRPr="00483DD4">
        <w:t xml:space="preserve"> </w:t>
      </w:r>
      <w:r w:rsidR="00483DD4">
        <w:t>This cost is not for case management or the cost of a bookkeeper whose duties extend beyond CHG related activities. This cost is only associated with the appropriate portion of salary and benefits of the bookkeeper who issues checks to landlords, utility companies or paying hotel or motel bills on behalf of a household because it is directly related to the delivery of rent or rent and utility assistance with the CHG funds.</w:t>
      </w:r>
    </w:p>
    <w:p w:rsidR="00B20D0A" w:rsidRPr="00331487" w:rsidRDefault="00B20D0A" w:rsidP="00B20D0A">
      <w:pPr>
        <w:tabs>
          <w:tab w:val="left" w:pos="1080"/>
          <w:tab w:val="left" w:pos="1440"/>
          <w:tab w:val="left" w:pos="2250"/>
        </w:tabs>
        <w:rPr>
          <w:sz w:val="16"/>
          <w:szCs w:val="16"/>
        </w:rPr>
      </w:pPr>
    </w:p>
    <w:p w:rsidR="00854E4B" w:rsidRPr="00C2730C" w:rsidRDefault="004A70E6" w:rsidP="00EE51FF">
      <w:pPr>
        <w:pStyle w:val="ListParagraph"/>
        <w:numPr>
          <w:ilvl w:val="0"/>
          <w:numId w:val="8"/>
        </w:numPr>
        <w:tabs>
          <w:tab w:val="left" w:pos="1080"/>
          <w:tab w:val="left" w:pos="1440"/>
        </w:tabs>
        <w:ind w:left="720"/>
      </w:pPr>
      <w:r>
        <w:t>Office space,</w:t>
      </w:r>
      <w:r w:rsidR="008516DE">
        <w:t xml:space="preserve"> </w:t>
      </w:r>
      <w:r>
        <w:t>utilities,</w:t>
      </w:r>
      <w:r w:rsidR="008516DE">
        <w:t xml:space="preserve"> </w:t>
      </w:r>
      <w:r w:rsidR="00854E4B">
        <w:t>su</w:t>
      </w:r>
      <w:r>
        <w:t>pplies</w:t>
      </w:r>
      <w:r w:rsidR="0038277C">
        <w:t>,</w:t>
      </w:r>
      <w:r w:rsidR="005D3C73">
        <w:t xml:space="preserve"> </w:t>
      </w:r>
      <w:r w:rsidR="005D3C73" w:rsidRPr="00C2730C">
        <w:t>equipment (</w:t>
      </w:r>
      <w:r w:rsidR="0038277C" w:rsidRPr="00C2730C">
        <w:t xml:space="preserve">up to $1,000 per grant period </w:t>
      </w:r>
      <w:r w:rsidR="005D3C73" w:rsidRPr="00C2730C">
        <w:t xml:space="preserve">unless approved </w:t>
      </w:r>
      <w:r w:rsidR="006519A6" w:rsidRPr="00C2730C">
        <w:t xml:space="preserve">in advance </w:t>
      </w:r>
      <w:r w:rsidR="005D3C73" w:rsidRPr="00C2730C">
        <w:t>by Commerce)</w:t>
      </w:r>
      <w:r w:rsidRPr="00C2730C">
        <w:t>,</w:t>
      </w:r>
      <w:r w:rsidR="008516DE" w:rsidRPr="00C2730C">
        <w:t xml:space="preserve"> </w:t>
      </w:r>
      <w:r w:rsidRPr="00C2730C">
        <w:t>telephone,</w:t>
      </w:r>
      <w:r w:rsidR="008516DE" w:rsidRPr="00C2730C">
        <w:t xml:space="preserve"> </w:t>
      </w:r>
      <w:r w:rsidRPr="00C2730C">
        <w:t>internet,</w:t>
      </w:r>
      <w:r w:rsidR="008516DE" w:rsidRPr="00C2730C">
        <w:t xml:space="preserve"> </w:t>
      </w:r>
      <w:r w:rsidR="00854E4B" w:rsidRPr="00C2730C">
        <w:t>training</w:t>
      </w:r>
      <w:r w:rsidR="008469EC" w:rsidRPr="00C2730C">
        <w:t>/conferences</w:t>
      </w:r>
      <w:r w:rsidRPr="00C2730C">
        <w:t>/</w:t>
      </w:r>
      <w:r w:rsidR="00854E4B" w:rsidRPr="00C2730C">
        <w:t>travel</w:t>
      </w:r>
      <w:r w:rsidR="008469EC" w:rsidRPr="00C2730C">
        <w:t>/per</w:t>
      </w:r>
      <w:r w:rsidR="008B7268" w:rsidRPr="00C2730C">
        <w:t xml:space="preserve"> </w:t>
      </w:r>
      <w:r w:rsidR="00C6548A" w:rsidRPr="00C2730C">
        <w:t xml:space="preserve">diem </w:t>
      </w:r>
    </w:p>
    <w:p w:rsidR="00B20D0A" w:rsidRPr="00331487" w:rsidRDefault="00B20D0A" w:rsidP="00B20D0A">
      <w:pPr>
        <w:pStyle w:val="ListParagraph"/>
        <w:tabs>
          <w:tab w:val="left" w:pos="1080"/>
          <w:tab w:val="left" w:pos="1440"/>
        </w:tabs>
        <w:rPr>
          <w:sz w:val="16"/>
          <w:szCs w:val="16"/>
        </w:rPr>
      </w:pPr>
    </w:p>
    <w:p w:rsidR="00854E4B" w:rsidRPr="00854E4B" w:rsidRDefault="00854E4B" w:rsidP="00EE51FF">
      <w:pPr>
        <w:pStyle w:val="ListParagraph"/>
        <w:numPr>
          <w:ilvl w:val="0"/>
          <w:numId w:val="8"/>
        </w:numPr>
        <w:tabs>
          <w:tab w:val="left" w:pos="1080"/>
          <w:tab w:val="left" w:pos="1440"/>
        </w:tabs>
        <w:ind w:left="720"/>
      </w:pPr>
      <w:r w:rsidRPr="00854E4B">
        <w:t xml:space="preserve">General liability insurance and automobile insurance </w:t>
      </w:r>
    </w:p>
    <w:p w:rsidR="00B20D0A" w:rsidRPr="00331487" w:rsidRDefault="00B20D0A" w:rsidP="00B20D0A">
      <w:pPr>
        <w:pStyle w:val="ListParagraph"/>
        <w:tabs>
          <w:tab w:val="left" w:pos="1080"/>
          <w:tab w:val="left" w:pos="1440"/>
        </w:tabs>
        <w:rPr>
          <w:sz w:val="16"/>
          <w:szCs w:val="16"/>
        </w:rPr>
      </w:pPr>
    </w:p>
    <w:p w:rsidR="00854E4B" w:rsidRDefault="00173AA9" w:rsidP="00967EE8">
      <w:pPr>
        <w:pStyle w:val="BodyTextIndent2"/>
        <w:numPr>
          <w:ilvl w:val="0"/>
          <w:numId w:val="8"/>
        </w:numPr>
        <w:tabs>
          <w:tab w:val="left" w:pos="720"/>
          <w:tab w:val="left" w:pos="1080"/>
          <w:tab w:val="left" w:pos="1440"/>
        </w:tabs>
        <w:ind w:left="720"/>
      </w:pPr>
      <w:r w:rsidRPr="00967EE8">
        <w:t xml:space="preserve">Application </w:t>
      </w:r>
      <w:r w:rsidR="00426AB3" w:rsidRPr="00967EE8">
        <w:t>fees, background</w:t>
      </w:r>
      <w:r w:rsidRPr="00967EE8">
        <w:t xml:space="preserve"> and credit check fees for housing. </w:t>
      </w:r>
    </w:p>
    <w:p w:rsidR="00B20D0A" w:rsidRPr="00331487" w:rsidRDefault="00B20D0A" w:rsidP="00B20D0A">
      <w:pPr>
        <w:pStyle w:val="ListParagraph"/>
        <w:tabs>
          <w:tab w:val="left" w:pos="1080"/>
          <w:tab w:val="left" w:pos="1440"/>
        </w:tabs>
        <w:rPr>
          <w:sz w:val="16"/>
          <w:szCs w:val="16"/>
        </w:rPr>
      </w:pPr>
    </w:p>
    <w:p w:rsidR="009E0164" w:rsidRPr="00CB6282" w:rsidRDefault="00854E4B" w:rsidP="00EE51FF">
      <w:pPr>
        <w:pStyle w:val="ListParagraph"/>
        <w:numPr>
          <w:ilvl w:val="0"/>
          <w:numId w:val="8"/>
        </w:numPr>
        <w:tabs>
          <w:tab w:val="left" w:pos="1080"/>
          <w:tab w:val="left" w:pos="1440"/>
        </w:tabs>
        <w:ind w:left="720"/>
      </w:pPr>
      <w:r>
        <w:t>Costs of urinalyses for drug testing of clients if necessary/required for housing</w:t>
      </w:r>
    </w:p>
    <w:p w:rsidR="00B20D0A" w:rsidRPr="00331487" w:rsidRDefault="00B20D0A" w:rsidP="00B20D0A">
      <w:pPr>
        <w:pStyle w:val="ListParagraph"/>
        <w:tabs>
          <w:tab w:val="left" w:pos="1080"/>
          <w:tab w:val="left" w:pos="1440"/>
        </w:tabs>
        <w:rPr>
          <w:sz w:val="16"/>
          <w:szCs w:val="16"/>
        </w:rPr>
      </w:pPr>
    </w:p>
    <w:p w:rsidR="0017538D" w:rsidRDefault="008C64A6" w:rsidP="00EE51FF">
      <w:pPr>
        <w:pStyle w:val="ListParagraph"/>
        <w:numPr>
          <w:ilvl w:val="0"/>
          <w:numId w:val="8"/>
        </w:numPr>
        <w:tabs>
          <w:tab w:val="left" w:pos="1080"/>
          <w:tab w:val="left" w:pos="1440"/>
        </w:tabs>
        <w:ind w:left="720"/>
      </w:pPr>
      <w:r>
        <w:t>O</w:t>
      </w:r>
      <w:r w:rsidR="0017538D">
        <w:t xml:space="preserve">ther costs as approved </w:t>
      </w:r>
      <w:r w:rsidR="0010613A" w:rsidRPr="0031554A">
        <w:t>in advance</w:t>
      </w:r>
      <w:r w:rsidR="0010613A">
        <w:t xml:space="preserve"> </w:t>
      </w:r>
      <w:r w:rsidR="0017538D">
        <w:t>by Commerce</w:t>
      </w:r>
    </w:p>
    <w:p w:rsidR="00D462FD" w:rsidRDefault="00D462FD" w:rsidP="00D462FD">
      <w:pPr>
        <w:tabs>
          <w:tab w:val="left" w:pos="1080"/>
          <w:tab w:val="left" w:pos="1440"/>
        </w:tabs>
      </w:pPr>
    </w:p>
    <w:p w:rsidR="0017538D" w:rsidRDefault="0017538D" w:rsidP="00B20D0A">
      <w:pPr>
        <w:shd w:val="clear" w:color="auto" w:fill="C6D9F1" w:themeFill="text2" w:themeFillTint="33"/>
        <w:rPr>
          <w:b/>
          <w:bCs/>
        </w:rPr>
      </w:pPr>
      <w:r>
        <w:rPr>
          <w:b/>
          <w:bCs/>
        </w:rPr>
        <w:t>Data Collection</w:t>
      </w:r>
      <w:r w:rsidR="00163FA9">
        <w:rPr>
          <w:b/>
          <w:bCs/>
        </w:rPr>
        <w:t xml:space="preserve">, </w:t>
      </w:r>
      <w:r>
        <w:rPr>
          <w:b/>
          <w:bCs/>
        </w:rPr>
        <w:t>Evaluation</w:t>
      </w:r>
      <w:r w:rsidR="00163FA9">
        <w:rPr>
          <w:b/>
          <w:bCs/>
        </w:rPr>
        <w:t xml:space="preserve"> and Planning</w:t>
      </w:r>
    </w:p>
    <w:p w:rsidR="0017538D" w:rsidRDefault="0017538D"/>
    <w:p w:rsidR="00DE1B77" w:rsidRPr="00A92B52" w:rsidRDefault="00DE1B77">
      <w:pPr>
        <w:tabs>
          <w:tab w:val="left" w:pos="1080"/>
        </w:tabs>
        <w:rPr>
          <w:b/>
        </w:rPr>
      </w:pPr>
      <w:r w:rsidRPr="00A92B52">
        <w:rPr>
          <w:b/>
        </w:rPr>
        <w:t xml:space="preserve">Allowable </w:t>
      </w:r>
      <w:r w:rsidR="00284A35" w:rsidRPr="00A92B52">
        <w:rPr>
          <w:b/>
        </w:rPr>
        <w:t>Expenses</w:t>
      </w:r>
    </w:p>
    <w:p w:rsidR="00A0380E" w:rsidRDefault="00DE1B77" w:rsidP="00A0380E">
      <w:pPr>
        <w:tabs>
          <w:tab w:val="left" w:pos="1080"/>
        </w:tabs>
      </w:pPr>
      <w:r w:rsidRPr="00A92B52">
        <w:t xml:space="preserve">Allowable data collection, evaluation and planning </w:t>
      </w:r>
      <w:r w:rsidR="00284A35" w:rsidRPr="00A92B52">
        <w:t>expenses</w:t>
      </w:r>
      <w:r w:rsidR="00A0380E" w:rsidRPr="00A92B52">
        <w:t xml:space="preserve"> include but are not limited to salaries and benefits, office</w:t>
      </w:r>
      <w:r w:rsidR="0038277C" w:rsidRPr="00A92B52">
        <w:t xml:space="preserve"> space, utilities, supplies, </w:t>
      </w:r>
      <w:r w:rsidR="00A0380E" w:rsidRPr="00A92B52">
        <w:t>equipment (</w:t>
      </w:r>
      <w:r w:rsidR="0038277C" w:rsidRPr="00A92B52">
        <w:t xml:space="preserve">up to $1,000 per grant period </w:t>
      </w:r>
      <w:r w:rsidR="00A0380E" w:rsidRPr="00A92B52">
        <w:t>unless approved in advance by Commerce), telephone, internet, and training/conferences/per diem specifically associated with the following CHG activities:</w:t>
      </w:r>
    </w:p>
    <w:p w:rsidR="007D34C2" w:rsidRDefault="007D34C2">
      <w:pPr>
        <w:tabs>
          <w:tab w:val="left" w:pos="1080"/>
        </w:tabs>
      </w:pPr>
    </w:p>
    <w:p w:rsidR="007D34C2" w:rsidRPr="007D34C2" w:rsidRDefault="007D34C2" w:rsidP="00760B91">
      <w:pPr>
        <w:pStyle w:val="ListParagraph"/>
        <w:numPr>
          <w:ilvl w:val="0"/>
          <w:numId w:val="15"/>
        </w:numPr>
        <w:tabs>
          <w:tab w:val="left" w:pos="720"/>
        </w:tabs>
      </w:pPr>
      <w:r w:rsidRPr="007D34C2">
        <w:lastRenderedPageBreak/>
        <w:t>State Data Warehouse and Homeless Management Information System</w:t>
      </w:r>
      <w:r w:rsidR="007D7AA2">
        <w:t xml:space="preserve"> (HMIS) </w:t>
      </w:r>
    </w:p>
    <w:p w:rsidR="007F352D" w:rsidRPr="00331487" w:rsidRDefault="007F352D" w:rsidP="007F352D">
      <w:pPr>
        <w:pStyle w:val="ListParagraph"/>
        <w:rPr>
          <w:sz w:val="16"/>
          <w:szCs w:val="16"/>
        </w:rPr>
      </w:pPr>
    </w:p>
    <w:p w:rsidR="007D34C2" w:rsidRPr="007D34C2" w:rsidRDefault="007D34C2" w:rsidP="00760B91">
      <w:pPr>
        <w:pStyle w:val="ListParagraph"/>
        <w:numPr>
          <w:ilvl w:val="0"/>
          <w:numId w:val="15"/>
        </w:numPr>
      </w:pPr>
      <w:r w:rsidRPr="007D34C2">
        <w:t>Point-in-Time Counts</w:t>
      </w:r>
    </w:p>
    <w:p w:rsidR="007F352D" w:rsidRPr="00331487" w:rsidRDefault="007F352D" w:rsidP="007F352D">
      <w:pPr>
        <w:pStyle w:val="ListParagraph"/>
        <w:rPr>
          <w:sz w:val="16"/>
          <w:szCs w:val="16"/>
        </w:rPr>
      </w:pPr>
    </w:p>
    <w:p w:rsidR="007D34C2" w:rsidRPr="007D34C2" w:rsidRDefault="007D34C2" w:rsidP="00760B91">
      <w:pPr>
        <w:pStyle w:val="ListParagraph"/>
        <w:numPr>
          <w:ilvl w:val="0"/>
          <w:numId w:val="15"/>
        </w:numPr>
      </w:pPr>
      <w:r w:rsidRPr="007D34C2">
        <w:t>Housing Inventory</w:t>
      </w:r>
    </w:p>
    <w:p w:rsidR="007F352D" w:rsidRPr="00331487" w:rsidRDefault="007F352D" w:rsidP="007F352D">
      <w:pPr>
        <w:pStyle w:val="ListParagraph"/>
        <w:tabs>
          <w:tab w:val="left" w:pos="720"/>
        </w:tabs>
        <w:jc w:val="both"/>
        <w:rPr>
          <w:sz w:val="16"/>
          <w:szCs w:val="16"/>
        </w:rPr>
      </w:pPr>
    </w:p>
    <w:p w:rsidR="007D34C2" w:rsidRDefault="007D34C2" w:rsidP="00760B91">
      <w:pPr>
        <w:pStyle w:val="ListParagraph"/>
        <w:numPr>
          <w:ilvl w:val="0"/>
          <w:numId w:val="15"/>
        </w:numPr>
        <w:tabs>
          <w:tab w:val="left" w:pos="720"/>
        </w:tabs>
        <w:jc w:val="both"/>
      </w:pPr>
      <w:r w:rsidRPr="007D34C2">
        <w:t>Local Homeless Plans</w:t>
      </w:r>
    </w:p>
    <w:p w:rsidR="00331487" w:rsidRPr="00331487" w:rsidRDefault="00331487" w:rsidP="00331487">
      <w:pPr>
        <w:tabs>
          <w:tab w:val="left" w:pos="720"/>
        </w:tabs>
        <w:jc w:val="both"/>
        <w:rPr>
          <w:sz w:val="16"/>
          <w:szCs w:val="16"/>
        </w:rPr>
      </w:pPr>
    </w:p>
    <w:p w:rsidR="007D34C2" w:rsidRDefault="007D34C2" w:rsidP="00760B91">
      <w:pPr>
        <w:pStyle w:val="ListParagraph"/>
        <w:numPr>
          <w:ilvl w:val="0"/>
          <w:numId w:val="15"/>
        </w:numPr>
        <w:tabs>
          <w:tab w:val="left" w:pos="720"/>
        </w:tabs>
        <w:jc w:val="both"/>
      </w:pPr>
      <w:r w:rsidRPr="007D34C2">
        <w:t>Washington State Quality Award</w:t>
      </w:r>
    </w:p>
    <w:p w:rsidR="00362A05" w:rsidRPr="00E3601B" w:rsidRDefault="00362A05" w:rsidP="00F24AD9">
      <w:pPr>
        <w:pStyle w:val="ListParagraph"/>
        <w:rPr>
          <w:sz w:val="16"/>
          <w:szCs w:val="16"/>
        </w:rPr>
      </w:pPr>
    </w:p>
    <w:p w:rsidR="00362A05" w:rsidRPr="007D34C2" w:rsidRDefault="00362A05" w:rsidP="00760B91">
      <w:pPr>
        <w:pStyle w:val="ListParagraph"/>
        <w:numPr>
          <w:ilvl w:val="0"/>
          <w:numId w:val="15"/>
        </w:numPr>
        <w:tabs>
          <w:tab w:val="left" w:pos="720"/>
        </w:tabs>
        <w:jc w:val="both"/>
      </w:pPr>
      <w:r>
        <w:t xml:space="preserve">Coordinated Entry Planning/Implementation </w:t>
      </w:r>
    </w:p>
    <w:p w:rsidR="007D34C2" w:rsidRDefault="007D34C2">
      <w:pPr>
        <w:tabs>
          <w:tab w:val="left" w:pos="1080"/>
        </w:tabs>
      </w:pPr>
    </w:p>
    <w:p w:rsidR="0017538D" w:rsidRDefault="0017538D">
      <w:pPr>
        <w:tabs>
          <w:tab w:val="left" w:pos="1080"/>
        </w:tabs>
      </w:pPr>
      <w:r>
        <w:t xml:space="preserve">Up to </w:t>
      </w:r>
      <w:r w:rsidR="00DC5A19">
        <w:t>five (</w:t>
      </w:r>
      <w:r>
        <w:t>5</w:t>
      </w:r>
      <w:r w:rsidR="00DC5A19">
        <w:t>)</w:t>
      </w:r>
      <w:r>
        <w:t xml:space="preserve"> percent of the total grant amount may be used for data collection</w:t>
      </w:r>
      <w:r w:rsidR="000723E5">
        <w:t>, evaluation</w:t>
      </w:r>
      <w:r>
        <w:t xml:space="preserve"> and planning costs and </w:t>
      </w:r>
      <w:r w:rsidR="0011430A" w:rsidRPr="00CB6282">
        <w:t>may</w:t>
      </w:r>
      <w:r w:rsidR="0011430A">
        <w:t xml:space="preserve"> </w:t>
      </w:r>
      <w:r w:rsidR="007D7AA2">
        <w:t>be shared between the Lead/S</w:t>
      </w:r>
      <w:r>
        <w:t>ub</w:t>
      </w:r>
      <w:r w:rsidR="007D7AA2">
        <w:t xml:space="preserve"> G</w:t>
      </w:r>
      <w:r>
        <w:t>rantees.</w:t>
      </w:r>
    </w:p>
    <w:p w:rsidR="007D7AA2" w:rsidRDefault="007D7AA2">
      <w:pPr>
        <w:tabs>
          <w:tab w:val="left" w:pos="1080"/>
        </w:tabs>
      </w:pPr>
    </w:p>
    <w:p w:rsidR="007D7AA2" w:rsidRDefault="007D7AA2">
      <w:pPr>
        <w:tabs>
          <w:tab w:val="left" w:pos="1080"/>
        </w:tabs>
      </w:pPr>
      <w:r>
        <w:t xml:space="preserve">Data collection and entry </w:t>
      </w:r>
      <w:r w:rsidR="00BD66F9">
        <w:t xml:space="preserve">(the time a case manager or program staff spend collecting and reporting data in HMIS) </w:t>
      </w:r>
      <w:r>
        <w:t xml:space="preserve">may be </w:t>
      </w:r>
      <w:r w:rsidR="00BD66F9">
        <w:t xml:space="preserve">budgeted under </w:t>
      </w:r>
      <w:r w:rsidR="00BD66F9" w:rsidRPr="00E354AF">
        <w:rPr>
          <w:i/>
        </w:rPr>
        <w:t>Program Operations</w:t>
      </w:r>
      <w:r w:rsidR="00BD66F9" w:rsidRPr="00E354AF">
        <w:t xml:space="preserve"> or </w:t>
      </w:r>
      <w:r w:rsidR="00BD66F9" w:rsidRPr="00E354AF">
        <w:rPr>
          <w:i/>
        </w:rPr>
        <w:t>Data Collection, Evaluation and Planning</w:t>
      </w:r>
      <w:r w:rsidR="00BD66F9" w:rsidRPr="00E354AF">
        <w:t>.</w:t>
      </w:r>
    </w:p>
    <w:p w:rsidR="00B60C11" w:rsidRDefault="00B60C11">
      <w:pPr>
        <w:tabs>
          <w:tab w:val="left" w:pos="1080"/>
        </w:tabs>
      </w:pPr>
    </w:p>
    <w:p w:rsidR="0017538D" w:rsidRDefault="0017538D" w:rsidP="00B20D0A">
      <w:pPr>
        <w:shd w:val="clear" w:color="auto" w:fill="C6D9F1" w:themeFill="text2" w:themeFillTint="33"/>
        <w:rPr>
          <w:b/>
          <w:bCs/>
        </w:rPr>
      </w:pPr>
      <w:r>
        <w:rPr>
          <w:b/>
          <w:bCs/>
        </w:rPr>
        <w:t>Administrati</w:t>
      </w:r>
      <w:r w:rsidR="00DD71F5">
        <w:rPr>
          <w:b/>
          <w:bCs/>
        </w:rPr>
        <w:t>on</w:t>
      </w:r>
    </w:p>
    <w:p w:rsidR="003F22F3" w:rsidRDefault="003F22F3">
      <w:pPr>
        <w:rPr>
          <w:b/>
          <w:bCs/>
          <w:u w:val="single"/>
        </w:rPr>
      </w:pPr>
    </w:p>
    <w:p w:rsidR="007467CF" w:rsidRDefault="007C5605" w:rsidP="007F48EA">
      <w:r w:rsidRPr="00A92B52">
        <w:rPr>
          <w:b/>
        </w:rPr>
        <w:t xml:space="preserve">Allowable </w:t>
      </w:r>
      <w:r w:rsidR="00284A35" w:rsidRPr="00A92B52">
        <w:rPr>
          <w:b/>
        </w:rPr>
        <w:t>Expenses</w:t>
      </w:r>
      <w:r w:rsidR="002E5379">
        <w:rPr>
          <w:b/>
        </w:rPr>
        <w:t xml:space="preserve"> </w:t>
      </w:r>
    </w:p>
    <w:p w:rsidR="007467CF" w:rsidRDefault="00787F0C" w:rsidP="007467CF">
      <w:r w:rsidRPr="00B60C11">
        <w:t xml:space="preserve">Up to 15 percent of </w:t>
      </w:r>
      <w:r w:rsidRPr="008F1230">
        <w:t>total reimbursed costs</w:t>
      </w:r>
      <w:r w:rsidR="00B44150" w:rsidRPr="008F1230">
        <w:t xml:space="preserve"> </w:t>
      </w:r>
      <w:r w:rsidR="007467CF" w:rsidRPr="008F1230">
        <w:t>over</w:t>
      </w:r>
      <w:r w:rsidR="00B44150" w:rsidRPr="008F1230">
        <w:t xml:space="preserve"> the course of the grant period may be used for administration </w:t>
      </w:r>
      <w:r w:rsidR="007467CF" w:rsidRPr="008F1230">
        <w:t xml:space="preserve">and must be shared between the Lead Grantee and any Sub Grantees. </w:t>
      </w:r>
      <w:r w:rsidR="00B44150" w:rsidRPr="008F1230">
        <w:t>Th</w:t>
      </w:r>
      <w:r w:rsidR="00D70E12" w:rsidRPr="008F1230">
        <w:t>is</w:t>
      </w:r>
      <w:r w:rsidR="00B44150" w:rsidRPr="008F1230">
        <w:t xml:space="preserve"> limit</w:t>
      </w:r>
      <w:r w:rsidR="007467CF" w:rsidRPr="008F1230">
        <w:t xml:space="preserve"> must be reconciled before the end of the grant period.</w:t>
      </w:r>
    </w:p>
    <w:p w:rsidR="007467CF" w:rsidRDefault="007467CF" w:rsidP="007467CF"/>
    <w:p w:rsidR="007467CF" w:rsidRDefault="007467CF" w:rsidP="007467CF">
      <w:r>
        <w:t>Allowable administrative costs are those costs that benefit the organization as a whole.  Th</w:t>
      </w:r>
      <w:r w:rsidRPr="008F1230">
        <w:t xml:space="preserve">ey </w:t>
      </w:r>
      <w:r w:rsidR="009A0BA9" w:rsidRPr="008F1230">
        <w:t xml:space="preserve">may </w:t>
      </w:r>
      <w:r w:rsidRPr="008F1230">
        <w:t>include the following: executive director/accounting/human resources/IT salaries, benefits, office supplies and equipment (up to $1,000 per grant period unless approved in advance by Commerce); general organization insurance; organization wide audits; board expenses; organization-wide membership fees and dues</w:t>
      </w:r>
      <w:r w:rsidR="009A0BA9" w:rsidRPr="008F1230">
        <w:t xml:space="preserve">.  </w:t>
      </w:r>
      <w:r w:rsidRPr="008F1230">
        <w:t>This list is not all-inclusive.</w:t>
      </w:r>
    </w:p>
    <w:p w:rsidR="007467CF" w:rsidRDefault="007467CF" w:rsidP="007467CF"/>
    <w:p w:rsidR="009A0BA9" w:rsidRPr="008F1230" w:rsidRDefault="009A0BA9" w:rsidP="009A0BA9">
      <w:r w:rsidRPr="008F1230">
        <w:t xml:space="preserve">General agency facilities costs are also allowable administrative expenses.  They include the following: rent, building use allowances, and operations and maintenance costs such as janitorial and utilities.  This list is not all-inclusive.  </w:t>
      </w:r>
    </w:p>
    <w:p w:rsidR="009A0BA9" w:rsidRPr="008F1230" w:rsidRDefault="009A0BA9" w:rsidP="009A0BA9"/>
    <w:p w:rsidR="009A0BA9" w:rsidRPr="008F1230" w:rsidRDefault="009A0BA9" w:rsidP="009A0BA9">
      <w:r w:rsidRPr="008F1230">
        <w:t>Facility costs directly attributable to the program may be charged to Program Operations.</w:t>
      </w:r>
    </w:p>
    <w:p w:rsidR="009A0BA9" w:rsidRPr="008F1230" w:rsidRDefault="009A0BA9" w:rsidP="007467CF"/>
    <w:p w:rsidR="007467CF" w:rsidRDefault="007467CF" w:rsidP="007467CF">
      <w:r w:rsidRPr="008F1230">
        <w:t xml:space="preserve">Administrative and facilities </w:t>
      </w:r>
      <w:r w:rsidR="00CB44E0" w:rsidRPr="008F1230">
        <w:t>expenses cannot be billed by equal monthly distributions of the budget amount. These</w:t>
      </w:r>
      <w:r w:rsidR="00CB44E0">
        <w:t xml:space="preserve"> costs must be</w:t>
      </w:r>
      <w:r>
        <w:t xml:space="preserve"> charged to grant cost centers by one of three methods.  </w:t>
      </w:r>
    </w:p>
    <w:p w:rsidR="007467CF" w:rsidRPr="00F40A85" w:rsidRDefault="007467CF" w:rsidP="007467CF"/>
    <w:p w:rsidR="00F40A85" w:rsidRDefault="007467CF" w:rsidP="00F40A85">
      <w:pPr>
        <w:pStyle w:val="ListParagraph"/>
        <w:numPr>
          <w:ilvl w:val="1"/>
          <w:numId w:val="24"/>
        </w:numPr>
        <w:tabs>
          <w:tab w:val="left" w:pos="720"/>
        </w:tabs>
        <w:ind w:hanging="1080"/>
      </w:pPr>
      <w:r>
        <w:t>They can be billed directly such as IT services that are billed by the hour.</w:t>
      </w:r>
    </w:p>
    <w:p w:rsidR="007467CF" w:rsidRPr="00F40A85" w:rsidRDefault="007467CF" w:rsidP="00F40A85">
      <w:pPr>
        <w:pStyle w:val="ListParagraph"/>
        <w:ind w:left="1440"/>
        <w:rPr>
          <w:sz w:val="16"/>
          <w:szCs w:val="16"/>
        </w:rPr>
      </w:pPr>
      <w:r w:rsidRPr="00F40A85">
        <w:rPr>
          <w:sz w:val="16"/>
          <w:szCs w:val="16"/>
        </w:rPr>
        <w:t xml:space="preserve">  </w:t>
      </w:r>
    </w:p>
    <w:p w:rsidR="00F40A85" w:rsidRDefault="007467CF" w:rsidP="00F40A85">
      <w:pPr>
        <w:pStyle w:val="ListParagraph"/>
        <w:numPr>
          <w:ilvl w:val="1"/>
          <w:numId w:val="24"/>
        </w:numPr>
        <w:tabs>
          <w:tab w:val="left" w:pos="720"/>
        </w:tabs>
        <w:ind w:hanging="1080"/>
      </w:pPr>
      <w:r>
        <w:t>They can be allocated by means of a cost allocation plan.</w:t>
      </w:r>
    </w:p>
    <w:p w:rsidR="007467CF" w:rsidRPr="00F40A85" w:rsidRDefault="007467CF" w:rsidP="00F40A85">
      <w:pPr>
        <w:rPr>
          <w:sz w:val="16"/>
          <w:szCs w:val="16"/>
        </w:rPr>
      </w:pPr>
      <w:r>
        <w:t xml:space="preserve">  </w:t>
      </w:r>
    </w:p>
    <w:p w:rsidR="007467CF" w:rsidRDefault="007467CF" w:rsidP="00F40A85">
      <w:pPr>
        <w:ind w:left="720" w:hanging="360"/>
      </w:pPr>
      <w:r>
        <w:t xml:space="preserve">3. </w:t>
      </w:r>
      <w:r w:rsidR="00F40A85">
        <w:tab/>
      </w:r>
      <w:r>
        <w:t xml:space="preserve">They can be charged by use of an indirect cost rate which has been appropriately </w:t>
      </w:r>
      <w:r w:rsidR="00F40A85">
        <w:t xml:space="preserve">  </w:t>
      </w:r>
      <w:r>
        <w:t>negotiated and approved.</w:t>
      </w:r>
    </w:p>
    <w:p w:rsidR="007467CF" w:rsidRDefault="007467CF" w:rsidP="007F48EA"/>
    <w:p w:rsidR="00564EB5" w:rsidRDefault="00564EB5" w:rsidP="007F48EA"/>
    <w:p w:rsidR="0017538D" w:rsidRDefault="00B25F84" w:rsidP="00B95D13">
      <w:pPr>
        <w:pBdr>
          <w:top w:val="single" w:sz="4" w:space="1" w:color="auto"/>
          <w:left w:val="single" w:sz="4" w:space="4" w:color="auto"/>
          <w:bottom w:val="single" w:sz="4" w:space="13" w:color="auto"/>
          <w:right w:val="single" w:sz="4" w:space="4" w:color="auto"/>
        </w:pBdr>
        <w:shd w:val="clear" w:color="auto" w:fill="D9D9D9" w:themeFill="background1" w:themeFillShade="D9"/>
        <w:tabs>
          <w:tab w:val="left" w:pos="360"/>
        </w:tabs>
        <w:rPr>
          <w:b/>
          <w:bCs/>
        </w:rPr>
      </w:pPr>
      <w:r>
        <w:rPr>
          <w:b/>
          <w:bCs/>
        </w:rPr>
        <w:lastRenderedPageBreak/>
        <w:t>6</w:t>
      </w:r>
      <w:r w:rsidR="005B5D5B">
        <w:rPr>
          <w:b/>
          <w:bCs/>
        </w:rPr>
        <w:t>.</w:t>
      </w:r>
      <w:r w:rsidR="005B5D5B">
        <w:rPr>
          <w:b/>
          <w:bCs/>
        </w:rPr>
        <w:tab/>
      </w:r>
      <w:r w:rsidR="0017538D">
        <w:rPr>
          <w:b/>
          <w:bCs/>
        </w:rPr>
        <w:t>Termination of Participation, Applicant Denial</w:t>
      </w:r>
      <w:r w:rsidR="00797663">
        <w:rPr>
          <w:b/>
          <w:bCs/>
        </w:rPr>
        <w:t>,</w:t>
      </w:r>
      <w:r w:rsidR="0017538D">
        <w:rPr>
          <w:b/>
          <w:bCs/>
        </w:rPr>
        <w:t xml:space="preserve"> and Grievance</w:t>
      </w:r>
    </w:p>
    <w:p w:rsidR="0017538D" w:rsidRDefault="0017538D"/>
    <w:p w:rsidR="005E2BA1" w:rsidRDefault="00FA4EE5" w:rsidP="005E2BA1">
      <w:r w:rsidRPr="009B760F">
        <w:rPr>
          <w:bCs/>
        </w:rPr>
        <w:t>Lead/Sub Grantees</w:t>
      </w:r>
      <w:r>
        <w:t xml:space="preserve"> </w:t>
      </w:r>
      <w:r w:rsidR="0017538D">
        <w:t xml:space="preserve">must have written </w:t>
      </w:r>
      <w:r w:rsidR="005E2BA1">
        <w:t xml:space="preserve">termination, denial, and grievance </w:t>
      </w:r>
      <w:r w:rsidR="001B6F40">
        <w:t>policies and/or procedures</w:t>
      </w:r>
      <w:r w:rsidR="005E2BA1">
        <w:t xml:space="preserve">. The </w:t>
      </w:r>
      <w:r w:rsidR="00230AC1">
        <w:t xml:space="preserve">policies and/or </w:t>
      </w:r>
      <w:r w:rsidR="005E2BA1">
        <w:t xml:space="preserve">procedures should be readily available to households either in written information or by posting the policy in a public place. It is important to effectively communicate these </w:t>
      </w:r>
      <w:r w:rsidR="00230AC1">
        <w:t xml:space="preserve">policies and/or </w:t>
      </w:r>
      <w:r w:rsidR="005E2BA1">
        <w:t>procedures to households and ensure that the</w:t>
      </w:r>
      <w:r w:rsidR="00230AC1">
        <w:t>y</w:t>
      </w:r>
      <w:r w:rsidR="005E2BA1">
        <w:t xml:space="preserve"> are fully understood. </w:t>
      </w:r>
    </w:p>
    <w:p w:rsidR="0017538D" w:rsidRDefault="0017538D"/>
    <w:p w:rsidR="00330E17" w:rsidRPr="00330E17" w:rsidRDefault="00330E17" w:rsidP="00760B91">
      <w:pPr>
        <w:pStyle w:val="ListParagraph"/>
        <w:numPr>
          <w:ilvl w:val="0"/>
          <w:numId w:val="26"/>
        </w:numPr>
        <w:tabs>
          <w:tab w:val="left" w:pos="720"/>
        </w:tabs>
        <w:rPr>
          <w:bCs/>
        </w:rPr>
      </w:pPr>
      <w:r w:rsidRPr="00330E17">
        <w:rPr>
          <w:bCs/>
        </w:rPr>
        <w:t xml:space="preserve">Termination of Participation and Grievance </w:t>
      </w:r>
    </w:p>
    <w:p w:rsidR="00330E17" w:rsidRDefault="00464DA7" w:rsidP="00330E17">
      <w:pPr>
        <w:ind w:left="720"/>
      </w:pPr>
      <w:r>
        <w:t>Causes for termination may include, but are not limited to, failure to abide by any agreed upon requirements</w:t>
      </w:r>
      <w:r w:rsidR="00BE2B6C">
        <w:t xml:space="preserve"> and client </w:t>
      </w:r>
      <w:r w:rsidR="00AB5381" w:rsidRPr="003B362A">
        <w:t>misrepresentation</w:t>
      </w:r>
      <w:r>
        <w:t>.  A grievance procedure must include:</w:t>
      </w:r>
      <w:r w:rsidR="005E2BA1">
        <w:t xml:space="preserve"> </w:t>
      </w:r>
    </w:p>
    <w:p w:rsidR="0017538D" w:rsidRPr="00331487" w:rsidRDefault="0017538D">
      <w:pPr>
        <w:ind w:left="360"/>
        <w:rPr>
          <w:sz w:val="16"/>
          <w:szCs w:val="16"/>
        </w:rPr>
      </w:pPr>
    </w:p>
    <w:p w:rsidR="00330E17" w:rsidRDefault="0017538D" w:rsidP="00760B91">
      <w:pPr>
        <w:pStyle w:val="ListParagraph"/>
        <w:numPr>
          <w:ilvl w:val="0"/>
          <w:numId w:val="27"/>
        </w:numPr>
      </w:pPr>
      <w:r>
        <w:t xml:space="preserve">Written notice to the household containing a clear statement of the reasons for termination; </w:t>
      </w:r>
    </w:p>
    <w:p w:rsidR="0017538D" w:rsidRPr="00331487" w:rsidRDefault="0017538D">
      <w:pPr>
        <w:tabs>
          <w:tab w:val="num" w:pos="1080"/>
        </w:tabs>
        <w:ind w:left="1080"/>
        <w:rPr>
          <w:sz w:val="16"/>
          <w:szCs w:val="16"/>
        </w:rPr>
      </w:pPr>
    </w:p>
    <w:p w:rsidR="00330E17" w:rsidRDefault="0017538D" w:rsidP="00760B91">
      <w:pPr>
        <w:pStyle w:val="ListParagraph"/>
        <w:numPr>
          <w:ilvl w:val="0"/>
          <w:numId w:val="27"/>
        </w:numPr>
      </w:pPr>
      <w:r w:rsidRPr="00FA4EE5">
        <w:t>A review of the decision, in which the household is given the opportunity to present written or oral objections before a person other than the person (or a subordinate of that person) who made or approved the termination decisi</w:t>
      </w:r>
      <w:r w:rsidR="00976283" w:rsidRPr="00FA4EE5">
        <w:t>on</w:t>
      </w:r>
      <w:r w:rsidR="00832549">
        <w:t xml:space="preserve">. </w:t>
      </w:r>
      <w:r w:rsidR="00976283" w:rsidRPr="00FA4EE5">
        <w:t>This may include the household’s right to question or confront staff involved;</w:t>
      </w:r>
      <w:r>
        <w:t xml:space="preserve"> and </w:t>
      </w:r>
    </w:p>
    <w:p w:rsidR="0017538D" w:rsidRPr="00331487" w:rsidRDefault="0017538D">
      <w:pPr>
        <w:tabs>
          <w:tab w:val="num" w:pos="1080"/>
        </w:tabs>
        <w:ind w:left="1080"/>
        <w:rPr>
          <w:sz w:val="16"/>
          <w:szCs w:val="16"/>
        </w:rPr>
      </w:pPr>
    </w:p>
    <w:p w:rsidR="006A0869" w:rsidRPr="0070281C" w:rsidRDefault="0017538D" w:rsidP="00760B91">
      <w:pPr>
        <w:pStyle w:val="ListParagraph"/>
        <w:numPr>
          <w:ilvl w:val="0"/>
          <w:numId w:val="27"/>
        </w:numPr>
      </w:pPr>
      <w:r>
        <w:t xml:space="preserve">Prompt written notice of the final decision. </w:t>
      </w:r>
    </w:p>
    <w:p w:rsidR="00CA3E40" w:rsidRPr="00564EB5" w:rsidRDefault="00CA3E40" w:rsidP="00CA3E40">
      <w:pPr>
        <w:pStyle w:val="ListParagraph"/>
        <w:rPr>
          <w:sz w:val="16"/>
          <w:szCs w:val="16"/>
        </w:rPr>
      </w:pPr>
    </w:p>
    <w:p w:rsidR="00CA3E40" w:rsidRDefault="00464DA7" w:rsidP="00760B91">
      <w:pPr>
        <w:pStyle w:val="ListParagraph"/>
        <w:numPr>
          <w:ilvl w:val="0"/>
          <w:numId w:val="26"/>
        </w:numPr>
      </w:pPr>
      <w:r>
        <w:t>Denial and Grievance</w:t>
      </w:r>
    </w:p>
    <w:p w:rsidR="00330E17" w:rsidRDefault="0017538D" w:rsidP="00CA3E40">
      <w:pPr>
        <w:pStyle w:val="ListParagraph"/>
      </w:pPr>
      <w:r>
        <w:t xml:space="preserve">Causes of denial of assistance include, but are not limited to, the household’s ineligibility or failure to provide verifiable evidence of eligibility, etc. </w:t>
      </w:r>
      <w:r w:rsidR="00D05DBC">
        <w:t xml:space="preserve"> Established</w:t>
      </w:r>
      <w:r>
        <w:t xml:space="preserve"> procedures should describe</w:t>
      </w:r>
      <w:r w:rsidR="00D05DBC">
        <w:t>:</w:t>
      </w:r>
    </w:p>
    <w:p w:rsidR="00330E17" w:rsidRPr="00564EB5" w:rsidRDefault="00330E17" w:rsidP="00330E17">
      <w:pPr>
        <w:pStyle w:val="ListParagraph"/>
        <w:rPr>
          <w:sz w:val="16"/>
          <w:szCs w:val="16"/>
        </w:rPr>
      </w:pPr>
    </w:p>
    <w:p w:rsidR="00330E17" w:rsidRDefault="009141A0" w:rsidP="00760B91">
      <w:pPr>
        <w:pStyle w:val="ListParagraph"/>
        <w:numPr>
          <w:ilvl w:val="0"/>
          <w:numId w:val="28"/>
        </w:numPr>
        <w:ind w:left="1080"/>
      </w:pPr>
      <w:r>
        <w:t>C</w:t>
      </w:r>
      <w:r w:rsidR="00230AC1">
        <w:t xml:space="preserve">ircumstances </w:t>
      </w:r>
      <w:r w:rsidR="0017538D">
        <w:t>in which a househol</w:t>
      </w:r>
      <w:r w:rsidR="00976283">
        <w:t xml:space="preserve">d may not qualify or </w:t>
      </w:r>
      <w:r w:rsidR="00230AC1">
        <w:t xml:space="preserve">would </w:t>
      </w:r>
      <w:r w:rsidR="00976283">
        <w:t>be denied</w:t>
      </w:r>
      <w:r w:rsidR="00D05DBC">
        <w:t>;</w:t>
      </w:r>
    </w:p>
    <w:p w:rsidR="00331487" w:rsidRPr="00331487" w:rsidRDefault="00331487" w:rsidP="00331487">
      <w:pPr>
        <w:pStyle w:val="ListParagraph"/>
        <w:ind w:left="1080"/>
        <w:rPr>
          <w:sz w:val="16"/>
          <w:szCs w:val="16"/>
        </w:rPr>
      </w:pPr>
    </w:p>
    <w:p w:rsidR="00330E17" w:rsidRDefault="009141A0" w:rsidP="00760B91">
      <w:pPr>
        <w:pStyle w:val="ListParagraph"/>
        <w:numPr>
          <w:ilvl w:val="0"/>
          <w:numId w:val="28"/>
        </w:numPr>
        <w:ind w:left="1080"/>
      </w:pPr>
      <w:r>
        <w:t>N</w:t>
      </w:r>
      <w:r w:rsidR="00976283">
        <w:t>otification of denial</w:t>
      </w:r>
      <w:r w:rsidR="00D05DBC">
        <w:t>;</w:t>
      </w:r>
      <w:r w:rsidR="00230AC1">
        <w:t xml:space="preserve"> and</w:t>
      </w:r>
    </w:p>
    <w:p w:rsidR="00331487" w:rsidRPr="00331487" w:rsidRDefault="00331487" w:rsidP="00331487">
      <w:pPr>
        <w:rPr>
          <w:sz w:val="16"/>
          <w:szCs w:val="16"/>
        </w:rPr>
      </w:pPr>
    </w:p>
    <w:p w:rsidR="00173AA9" w:rsidRDefault="009141A0" w:rsidP="00080732">
      <w:pPr>
        <w:pStyle w:val="ListParagraph"/>
        <w:numPr>
          <w:ilvl w:val="0"/>
          <w:numId w:val="28"/>
        </w:numPr>
        <w:ind w:left="1080"/>
      </w:pPr>
      <w:r>
        <w:t>A</w:t>
      </w:r>
      <w:r w:rsidR="00976283">
        <w:t xml:space="preserve"> household’s right to review a </w:t>
      </w:r>
      <w:r w:rsidR="003A1DB3">
        <w:t>Lead/Sub Grantee’</w:t>
      </w:r>
      <w:r w:rsidR="00976283">
        <w:t>s decision</w:t>
      </w:r>
      <w:r w:rsidR="00832549">
        <w:t xml:space="preserve">. </w:t>
      </w:r>
    </w:p>
    <w:p w:rsidR="00564EB5" w:rsidRPr="00EA763F" w:rsidRDefault="00564EB5" w:rsidP="00FA4EE5">
      <w:pPr>
        <w:pStyle w:val="QuickA"/>
        <w:numPr>
          <w:ilvl w:val="0"/>
          <w:numId w:val="0"/>
        </w:numPr>
      </w:pPr>
    </w:p>
    <w:p w:rsidR="00FA4EE5" w:rsidRDefault="00B25F84" w:rsidP="00442AD4">
      <w:pPr>
        <w:pBdr>
          <w:top w:val="single" w:sz="4" w:space="1" w:color="auto"/>
          <w:left w:val="single" w:sz="4" w:space="4" w:color="auto"/>
          <w:bottom w:val="single" w:sz="4" w:space="11" w:color="auto"/>
          <w:right w:val="single" w:sz="4" w:space="4" w:color="auto"/>
        </w:pBdr>
        <w:shd w:val="clear" w:color="auto" w:fill="E0E0E0"/>
        <w:tabs>
          <w:tab w:val="left" w:pos="360"/>
        </w:tabs>
        <w:rPr>
          <w:b/>
          <w:bCs/>
          <w:sz w:val="28"/>
          <w:szCs w:val="28"/>
        </w:rPr>
      </w:pPr>
      <w:r>
        <w:rPr>
          <w:b/>
          <w:bCs/>
        </w:rPr>
        <w:t>7</w:t>
      </w:r>
      <w:r w:rsidR="00FA4EE5">
        <w:rPr>
          <w:b/>
          <w:bCs/>
        </w:rPr>
        <w:t>.</w:t>
      </w:r>
      <w:r w:rsidR="00FA4EE5">
        <w:rPr>
          <w:b/>
          <w:bCs/>
        </w:rPr>
        <w:tab/>
        <w:t>Confidentiality of Client Records</w:t>
      </w:r>
    </w:p>
    <w:p w:rsidR="00FA4EE5" w:rsidRDefault="00FA4EE5" w:rsidP="00FA4EE5">
      <w:pPr>
        <w:rPr>
          <w:bCs/>
        </w:rPr>
      </w:pPr>
    </w:p>
    <w:p w:rsidR="00B20D0A" w:rsidRDefault="00FA4EE5" w:rsidP="00FA4EE5">
      <w:r w:rsidRPr="009B760F">
        <w:rPr>
          <w:bCs/>
        </w:rPr>
        <w:t>Lead/Sub Grantees</w:t>
      </w:r>
      <w:r>
        <w:t xml:space="preserve"> must have </w:t>
      </w:r>
      <w:r w:rsidR="001B6F40">
        <w:t>policies and/or procedures</w:t>
      </w:r>
      <w:r>
        <w:t xml:space="preserve"> ensuring client records are maintained in a confidential manner as per RCW 43.185C.030 and keep written records or files pertaining to households under lock and key with designated personnel</w:t>
      </w:r>
      <w:r w:rsidR="00331487">
        <w:t xml:space="preserve"> granted access to those files.</w:t>
      </w:r>
    </w:p>
    <w:p w:rsidR="00E24772" w:rsidRDefault="00E24772" w:rsidP="00F567B5">
      <w:pPr>
        <w:tabs>
          <w:tab w:val="left" w:pos="540"/>
        </w:tabs>
        <w:rPr>
          <w:b/>
          <w:bCs/>
        </w:rPr>
      </w:pPr>
    </w:p>
    <w:p w:rsidR="00564EB5" w:rsidRPr="00564EB5" w:rsidRDefault="00564EB5" w:rsidP="00F567B5">
      <w:pPr>
        <w:tabs>
          <w:tab w:val="left" w:pos="540"/>
        </w:tabs>
        <w:rPr>
          <w:b/>
          <w:bCs/>
          <w:sz w:val="16"/>
          <w:szCs w:val="16"/>
        </w:rPr>
      </w:pPr>
    </w:p>
    <w:p w:rsidR="00D02B87" w:rsidRDefault="00B25F84" w:rsidP="00D02B87">
      <w:pPr>
        <w:pBdr>
          <w:top w:val="single" w:sz="4" w:space="1" w:color="auto"/>
          <w:left w:val="single" w:sz="4" w:space="4" w:color="auto"/>
          <w:bottom w:val="single" w:sz="4" w:space="13" w:color="auto"/>
          <w:right w:val="single" w:sz="4" w:space="4" w:color="auto"/>
        </w:pBdr>
        <w:shd w:val="clear" w:color="auto" w:fill="D9D9D9"/>
        <w:tabs>
          <w:tab w:val="left" w:pos="360"/>
        </w:tabs>
        <w:rPr>
          <w:b/>
          <w:bCs/>
        </w:rPr>
      </w:pPr>
      <w:r>
        <w:rPr>
          <w:b/>
          <w:bCs/>
        </w:rPr>
        <w:t>8</w:t>
      </w:r>
      <w:r w:rsidR="00F567B5">
        <w:rPr>
          <w:b/>
          <w:bCs/>
        </w:rPr>
        <w:t>.</w:t>
      </w:r>
      <w:r w:rsidR="00F567B5">
        <w:rPr>
          <w:b/>
          <w:bCs/>
        </w:rPr>
        <w:tab/>
      </w:r>
      <w:r w:rsidR="00D02B87" w:rsidRPr="00D02B87">
        <w:rPr>
          <w:b/>
        </w:rPr>
        <w:t xml:space="preserve"> </w:t>
      </w:r>
      <w:r w:rsidR="00D02B87" w:rsidRPr="0073337E">
        <w:rPr>
          <w:b/>
        </w:rPr>
        <w:t>Washing</w:t>
      </w:r>
      <w:r w:rsidR="00D02B87">
        <w:rPr>
          <w:b/>
          <w:bCs/>
        </w:rPr>
        <w:t>ton Residential Landlord-Tenant Act</w:t>
      </w:r>
    </w:p>
    <w:p w:rsidR="0017538D" w:rsidRDefault="0017538D" w:rsidP="00F567B5">
      <w:pPr>
        <w:tabs>
          <w:tab w:val="left" w:pos="540"/>
        </w:tabs>
        <w:rPr>
          <w:b/>
          <w:bCs/>
        </w:rPr>
      </w:pPr>
    </w:p>
    <w:p w:rsidR="00D02B87" w:rsidRDefault="00D02B87" w:rsidP="00D02B87">
      <w:r>
        <w:t xml:space="preserve">Tenants </w:t>
      </w:r>
      <w:r w:rsidR="0004005F">
        <w:t>should</w:t>
      </w:r>
      <w:r>
        <w:t xml:space="preserve"> be made aware of the Washington Residential Landlord-Tenant Act, </w:t>
      </w:r>
    </w:p>
    <w:p w:rsidR="00D02B87" w:rsidRDefault="00D02B87" w:rsidP="00D02B87">
      <w:r>
        <w:t>RCW 59.18, an</w:t>
      </w:r>
      <w:r w:rsidR="002E5FCC">
        <w:t>d</w:t>
      </w:r>
      <w:r>
        <w:t xml:space="preserve"> be informed on how to use this law when problems arise.</w:t>
      </w:r>
    </w:p>
    <w:p w:rsidR="00B60C11" w:rsidRDefault="00B60C11" w:rsidP="00D02B87"/>
    <w:p w:rsidR="00EA763F" w:rsidRDefault="00EA763F" w:rsidP="00D02B87"/>
    <w:p w:rsidR="00331487" w:rsidRDefault="009B5352" w:rsidP="00005986">
      <w:pPr>
        <w:rPr>
          <w:b/>
          <w:color w:val="000000"/>
        </w:rPr>
      </w:pPr>
      <w:r>
        <w:rPr>
          <w:b/>
          <w:color w:val="000000"/>
        </w:rPr>
        <w:lastRenderedPageBreak/>
        <w:t xml:space="preserve">For more information visit: </w:t>
      </w:r>
    </w:p>
    <w:p w:rsidR="00564EB5" w:rsidRPr="00564EB5" w:rsidRDefault="00564EB5" w:rsidP="00005986">
      <w:pPr>
        <w:rPr>
          <w:b/>
          <w:color w:val="000000"/>
          <w:sz w:val="16"/>
          <w:szCs w:val="16"/>
        </w:rPr>
      </w:pPr>
    </w:p>
    <w:p w:rsidR="002E5FCC" w:rsidRDefault="003F39E6" w:rsidP="00EA763F">
      <w:pPr>
        <w:pStyle w:val="ListParagraph"/>
        <w:numPr>
          <w:ilvl w:val="0"/>
          <w:numId w:val="52"/>
        </w:numPr>
        <w:rPr>
          <w:color w:val="000000"/>
        </w:rPr>
      </w:pPr>
      <w:r w:rsidRPr="009B5352">
        <w:rPr>
          <w:color w:val="000000"/>
        </w:rPr>
        <w:t>Washington LawHelp</w:t>
      </w:r>
      <w:r w:rsidR="009B5352">
        <w:rPr>
          <w:color w:val="000000"/>
        </w:rPr>
        <w:t xml:space="preserve"> - </w:t>
      </w:r>
      <w:r w:rsidRPr="009B5352">
        <w:rPr>
          <w:color w:val="000000"/>
        </w:rPr>
        <w:t>Housing Page</w:t>
      </w:r>
      <w:r w:rsidR="009B5352">
        <w:rPr>
          <w:color w:val="000000"/>
        </w:rPr>
        <w:t xml:space="preserve"> - </w:t>
      </w:r>
      <w:r w:rsidRPr="009B5352">
        <w:rPr>
          <w:color w:val="000000"/>
        </w:rPr>
        <w:t xml:space="preserve">Tenant Rights </w:t>
      </w:r>
      <w:r w:rsidR="009B5352">
        <w:rPr>
          <w:color w:val="000000"/>
        </w:rPr>
        <w:t>(</w:t>
      </w:r>
      <w:hyperlink r:id="rId22" w:history="1">
        <w:r w:rsidRPr="009B5352">
          <w:rPr>
            <w:rStyle w:val="Hyperlink"/>
          </w:rPr>
          <w:t>www.washingtonlawhelp.com</w:t>
        </w:r>
      </w:hyperlink>
      <w:r w:rsidR="009B5352">
        <w:rPr>
          <w:color w:val="000000"/>
        </w:rPr>
        <w:t>)</w:t>
      </w:r>
    </w:p>
    <w:p w:rsidR="00564EB5" w:rsidRPr="00564EB5" w:rsidRDefault="00564EB5" w:rsidP="00564EB5">
      <w:pPr>
        <w:pStyle w:val="ListParagraph"/>
        <w:rPr>
          <w:color w:val="000000"/>
          <w:sz w:val="16"/>
          <w:szCs w:val="16"/>
        </w:rPr>
      </w:pPr>
    </w:p>
    <w:p w:rsidR="003F39E6" w:rsidRPr="009B5352" w:rsidRDefault="003F39E6" w:rsidP="00EA763F">
      <w:pPr>
        <w:pStyle w:val="ListParagraph"/>
        <w:numPr>
          <w:ilvl w:val="0"/>
          <w:numId w:val="52"/>
        </w:numPr>
        <w:rPr>
          <w:color w:val="000000"/>
        </w:rPr>
      </w:pPr>
      <w:r w:rsidRPr="009B5352">
        <w:rPr>
          <w:color w:val="000000"/>
        </w:rPr>
        <w:t>Washington State Bar Association</w:t>
      </w:r>
      <w:r w:rsidR="009B5352">
        <w:rPr>
          <w:color w:val="000000"/>
        </w:rPr>
        <w:t xml:space="preserve"> - </w:t>
      </w:r>
      <w:r w:rsidRPr="009B5352">
        <w:rPr>
          <w:color w:val="000000"/>
        </w:rPr>
        <w:t>Publications, Newsletters, Brochures</w:t>
      </w:r>
      <w:r w:rsidR="009B5352">
        <w:rPr>
          <w:color w:val="000000"/>
        </w:rPr>
        <w:t xml:space="preserve"> - </w:t>
      </w:r>
      <w:r w:rsidRPr="009B5352">
        <w:rPr>
          <w:color w:val="000000"/>
        </w:rPr>
        <w:t xml:space="preserve">Consumer Information Pamphlets </w:t>
      </w:r>
      <w:r w:rsidR="009B5352">
        <w:rPr>
          <w:color w:val="000000"/>
        </w:rPr>
        <w:t>(</w:t>
      </w:r>
      <w:hyperlink r:id="rId23" w:history="1">
        <w:r w:rsidR="00B01C87" w:rsidRPr="00716EDF">
          <w:rPr>
            <w:rStyle w:val="Hyperlink"/>
          </w:rPr>
          <w:t>www.wsba.org</w:t>
        </w:r>
      </w:hyperlink>
      <w:r w:rsidR="00B01C87">
        <w:rPr>
          <w:color w:val="000000"/>
        </w:rPr>
        <w:t>)</w:t>
      </w:r>
    </w:p>
    <w:p w:rsidR="003F39E6" w:rsidRPr="00E25937" w:rsidRDefault="003F39E6" w:rsidP="00005986">
      <w:pPr>
        <w:rPr>
          <w:b/>
          <w:color w:val="000000"/>
        </w:rPr>
      </w:pPr>
    </w:p>
    <w:p w:rsidR="0017538D" w:rsidRDefault="00311843" w:rsidP="00311843">
      <w:pPr>
        <w:tabs>
          <w:tab w:val="left" w:pos="90"/>
          <w:tab w:val="left" w:pos="326"/>
          <w:tab w:val="left" w:pos="360"/>
          <w:tab w:val="left" w:pos="981"/>
          <w:tab w:val="left" w:pos="1440"/>
          <w:tab w:val="left" w:pos="1746"/>
          <w:tab w:val="left" w:pos="2160"/>
          <w:tab w:val="left" w:pos="2401"/>
          <w:tab w:val="left" w:pos="2880"/>
          <w:tab w:val="left" w:pos="3165"/>
          <w:tab w:val="left" w:pos="3600"/>
          <w:tab w:val="left" w:pos="3930"/>
          <w:tab w:val="left" w:pos="4320"/>
          <w:tab w:val="left" w:pos="4585"/>
          <w:tab w:val="left" w:pos="5040"/>
          <w:tab w:val="left" w:pos="5349"/>
          <w:tab w:val="left" w:pos="5760"/>
          <w:tab w:val="left" w:pos="6006"/>
          <w:tab w:val="left" w:pos="6480"/>
          <w:tab w:val="left" w:pos="6769"/>
          <w:tab w:val="left" w:pos="7200"/>
          <w:tab w:val="left" w:pos="7533"/>
          <w:tab w:val="left" w:pos="7920"/>
        </w:tabs>
        <w:suppressAutoHyphens/>
        <w:rPr>
          <w:b/>
          <w:bCs/>
        </w:rPr>
      </w:pPr>
      <w:r>
        <w:rPr>
          <w:b/>
          <w:bCs/>
        </w:rPr>
        <w:t xml:space="preserve">  </w:t>
      </w:r>
      <w:r w:rsidR="00B25F84">
        <w:rPr>
          <w:b/>
          <w:bCs/>
        </w:rPr>
        <w:t>9</w:t>
      </w:r>
      <w:r w:rsidR="00D53480">
        <w:rPr>
          <w:b/>
          <w:bCs/>
        </w:rPr>
        <w:t>.</w:t>
      </w:r>
      <w:r w:rsidR="00564EB5">
        <w:rPr>
          <w:b/>
          <w:bCs/>
        </w:rPr>
        <w:t xml:space="preserve">  </w:t>
      </w:r>
      <w:r w:rsidR="0017538D">
        <w:rPr>
          <w:b/>
          <w:bCs/>
        </w:rPr>
        <w:t>Changes to Guidelines</w:t>
      </w:r>
    </w:p>
    <w:p w:rsidR="0017538D" w:rsidRDefault="006256D1">
      <w:r>
        <w:rPr>
          <w:noProof/>
        </w:rPr>
        <w:pict>
          <v:rect id="Rectangle 18" o:spid="_x0000_s1027" style="position:absolute;margin-left:-1.2pt;margin-top:-14.4pt;width:471pt;height:26.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" fillcolor="#d8d8d8"/>
        </w:pict>
      </w:r>
    </w:p>
    <w:p w:rsidR="00D12CB5" w:rsidRDefault="00D12CB5"/>
    <w:p w:rsidR="00680CFB" w:rsidRDefault="0017538D">
      <w:r>
        <w:t xml:space="preserve">Commerce may issue revised or new Guidelines at any time. All </w:t>
      </w:r>
      <w:r w:rsidR="009B760F">
        <w:t xml:space="preserve">Lead Grantees </w:t>
      </w:r>
      <w:r>
        <w:t xml:space="preserve">will be sent revised copies as they are published. It is the </w:t>
      </w:r>
      <w:r w:rsidR="009B760F">
        <w:t xml:space="preserve">Lead </w:t>
      </w:r>
      <w:r>
        <w:t>Grantee</w:t>
      </w:r>
      <w:r w:rsidR="0010613A">
        <w:t>’s</w:t>
      </w:r>
      <w:r>
        <w:t xml:space="preserve"> responsibility to pass on the revisions to </w:t>
      </w:r>
      <w:r w:rsidR="00652368">
        <w:t>Sub Grantees</w:t>
      </w:r>
      <w:r>
        <w:t xml:space="preserve"> in a timely manner.</w:t>
      </w:r>
    </w:p>
    <w:p w:rsidR="00576EB8" w:rsidRDefault="00576EB8"/>
    <w:p w:rsidR="00903764" w:rsidRDefault="00903764"/>
    <w:p w:rsidR="00903764" w:rsidRDefault="00903764">
      <w:r>
        <w:br w:type="page"/>
      </w:r>
    </w:p>
    <w:p w:rsidR="00903764" w:rsidRPr="00080732" w:rsidRDefault="00903764" w:rsidP="0090376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080732">
        <w:rPr>
          <w:b/>
          <w:bCs/>
          <w:sz w:val="28"/>
          <w:szCs w:val="28"/>
        </w:rPr>
        <w:lastRenderedPageBreak/>
        <w:t>Appendix A</w:t>
      </w:r>
    </w:p>
    <w:p w:rsidR="00903764" w:rsidRPr="00080732" w:rsidRDefault="00903764" w:rsidP="0090376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6"/>
          <w:szCs w:val="6"/>
        </w:rPr>
      </w:pPr>
    </w:p>
    <w:p w:rsidR="0033608B" w:rsidRPr="00BB555E" w:rsidRDefault="0033608B" w:rsidP="0033608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080732">
        <w:rPr>
          <w:b/>
          <w:bCs/>
          <w:sz w:val="28"/>
          <w:szCs w:val="28"/>
        </w:rPr>
        <w:t>Overview of Required Documentation</w:t>
      </w:r>
    </w:p>
    <w:p w:rsidR="00903764" w:rsidRDefault="00903764" w:rsidP="00903764"/>
    <w:p w:rsidR="00F63459" w:rsidRDefault="00F63459" w:rsidP="00903764"/>
    <w:tbl>
      <w:tblPr>
        <w:tblStyle w:val="TableGrid"/>
        <w:tblpPr w:leftFromText="180" w:rightFromText="180" w:vertAnchor="page" w:horzAnchor="page" w:tblpX="243" w:tblpY="3131"/>
        <w:tblW w:w="11448" w:type="dxa"/>
        <w:tblLayout w:type="fixed"/>
        <w:tblLook w:val="04A0"/>
      </w:tblPr>
      <w:tblGrid>
        <w:gridCol w:w="738"/>
        <w:gridCol w:w="981"/>
        <w:gridCol w:w="999"/>
        <w:gridCol w:w="1260"/>
        <w:gridCol w:w="990"/>
        <w:gridCol w:w="900"/>
        <w:gridCol w:w="1170"/>
        <w:gridCol w:w="1350"/>
        <w:gridCol w:w="990"/>
        <w:gridCol w:w="990"/>
        <w:gridCol w:w="1080"/>
      </w:tblGrid>
      <w:tr w:rsidR="00903764" w:rsidRPr="00BA26C6" w:rsidTr="00F63459">
        <w:trPr>
          <w:cantSplit/>
          <w:trHeight w:val="440"/>
        </w:trPr>
        <w:tc>
          <w:tcPr>
            <w:tcW w:w="738" w:type="dxa"/>
            <w:tcBorders>
              <w:top w:val="nil"/>
              <w:left w:val="nil"/>
              <w:bottom w:val="nil"/>
              <w:right w:val="nil"/>
            </w:tcBorders>
            <w:shd w:val="clear" w:color="auto" w:fill="auto"/>
          </w:tcPr>
          <w:p w:rsidR="00903764" w:rsidRPr="00E13C3E" w:rsidRDefault="00903764" w:rsidP="00F63459">
            <w:pPr>
              <w:rPr>
                <w:sz w:val="16"/>
                <w:szCs w:val="16"/>
              </w:rPr>
            </w:pPr>
          </w:p>
        </w:tc>
        <w:tc>
          <w:tcPr>
            <w:tcW w:w="981" w:type="dxa"/>
            <w:tcBorders>
              <w:top w:val="nil"/>
              <w:left w:val="nil"/>
              <w:bottom w:val="nil"/>
              <w:right w:val="nil"/>
            </w:tcBorders>
            <w:shd w:val="clear" w:color="auto" w:fill="auto"/>
          </w:tcPr>
          <w:p w:rsidR="00903764" w:rsidRPr="003679AD" w:rsidRDefault="00903764" w:rsidP="00F63459">
            <w:pPr>
              <w:rPr>
                <w:rFonts w:asciiTheme="minorHAnsi" w:hAnsiTheme="minorHAnsi"/>
                <w:sz w:val="16"/>
                <w:szCs w:val="16"/>
              </w:rPr>
            </w:pPr>
          </w:p>
        </w:tc>
        <w:tc>
          <w:tcPr>
            <w:tcW w:w="999" w:type="dxa"/>
            <w:tcBorders>
              <w:top w:val="nil"/>
              <w:left w:val="nil"/>
              <w:bottom w:val="single" w:sz="4" w:space="0" w:color="auto"/>
              <w:right w:val="single" w:sz="4" w:space="0" w:color="auto"/>
            </w:tcBorders>
            <w:shd w:val="clear" w:color="auto" w:fill="auto"/>
          </w:tcPr>
          <w:p w:rsidR="00903764" w:rsidRPr="00E3603F" w:rsidRDefault="00903764" w:rsidP="00F63459">
            <w:pPr>
              <w:rPr>
                <w:rFonts w:asciiTheme="minorHAnsi" w:hAnsiTheme="minorHAnsi"/>
                <w:b/>
                <w:sz w:val="16"/>
                <w:szCs w:val="16"/>
              </w:rPr>
            </w:pPr>
          </w:p>
        </w:tc>
        <w:tc>
          <w:tcPr>
            <w:tcW w:w="3150" w:type="dxa"/>
            <w:gridSpan w:val="3"/>
            <w:tcBorders>
              <w:left w:val="single" w:sz="4" w:space="0" w:color="auto"/>
              <w:right w:val="single" w:sz="4" w:space="0" w:color="auto"/>
            </w:tcBorders>
            <w:shd w:val="clear" w:color="auto" w:fill="D6E3BC" w:themeFill="accent3" w:themeFillTint="66"/>
          </w:tcPr>
          <w:p w:rsidR="00903764" w:rsidRPr="00F32D4D" w:rsidRDefault="00903764" w:rsidP="00F63459">
            <w:pPr>
              <w:ind w:left="72"/>
              <w:jc w:val="center"/>
              <w:rPr>
                <w:rFonts w:asciiTheme="minorHAnsi" w:hAnsiTheme="minorHAnsi"/>
                <w:b/>
                <w:sz w:val="16"/>
                <w:szCs w:val="16"/>
              </w:rPr>
            </w:pPr>
            <w:r w:rsidRPr="00F32D4D">
              <w:rPr>
                <w:rFonts w:asciiTheme="minorHAnsi" w:hAnsiTheme="minorHAnsi"/>
                <w:b/>
                <w:sz w:val="16"/>
                <w:szCs w:val="16"/>
              </w:rPr>
              <w:t>Household Eligibility Verification Form &amp; Supporting Documents</w:t>
            </w:r>
          </w:p>
        </w:tc>
        <w:tc>
          <w:tcPr>
            <w:tcW w:w="1170" w:type="dxa"/>
            <w:tcBorders>
              <w:top w:val="nil"/>
              <w:left w:val="single" w:sz="4" w:space="0" w:color="auto"/>
              <w:bottom w:val="single" w:sz="4" w:space="0" w:color="auto"/>
              <w:right w:val="nil"/>
            </w:tcBorders>
            <w:shd w:val="clear" w:color="auto" w:fill="auto"/>
          </w:tcPr>
          <w:p w:rsidR="00903764" w:rsidRPr="00893C1A" w:rsidRDefault="00903764" w:rsidP="00F63459">
            <w:pPr>
              <w:rPr>
                <w:rFonts w:asciiTheme="minorHAnsi" w:hAnsiTheme="minorHAnsi"/>
                <w:b/>
                <w:sz w:val="16"/>
                <w:szCs w:val="16"/>
              </w:rPr>
            </w:pPr>
          </w:p>
        </w:tc>
        <w:tc>
          <w:tcPr>
            <w:tcW w:w="1350" w:type="dxa"/>
            <w:tcBorders>
              <w:top w:val="nil"/>
              <w:left w:val="nil"/>
              <w:bottom w:val="single" w:sz="4" w:space="0" w:color="auto"/>
              <w:right w:val="nil"/>
            </w:tcBorders>
            <w:shd w:val="clear" w:color="auto" w:fill="auto"/>
          </w:tcPr>
          <w:p w:rsidR="00903764" w:rsidRPr="00893C1A" w:rsidRDefault="00903764" w:rsidP="00F63459">
            <w:pPr>
              <w:rPr>
                <w:rFonts w:asciiTheme="minorHAnsi" w:hAnsiTheme="minorHAnsi"/>
                <w:b/>
                <w:sz w:val="16"/>
                <w:szCs w:val="16"/>
              </w:rPr>
            </w:pPr>
          </w:p>
        </w:tc>
        <w:tc>
          <w:tcPr>
            <w:tcW w:w="990" w:type="dxa"/>
            <w:tcBorders>
              <w:top w:val="nil"/>
              <w:left w:val="nil"/>
              <w:bottom w:val="single" w:sz="4" w:space="0" w:color="auto"/>
              <w:right w:val="nil"/>
            </w:tcBorders>
            <w:shd w:val="clear" w:color="auto" w:fill="auto"/>
          </w:tcPr>
          <w:p w:rsidR="00903764" w:rsidRDefault="00903764" w:rsidP="00F63459">
            <w:pPr>
              <w:rPr>
                <w:rFonts w:asciiTheme="minorHAnsi" w:hAnsiTheme="minorHAnsi"/>
                <w:b/>
                <w:sz w:val="16"/>
                <w:szCs w:val="16"/>
              </w:rPr>
            </w:pPr>
          </w:p>
        </w:tc>
        <w:tc>
          <w:tcPr>
            <w:tcW w:w="990" w:type="dxa"/>
            <w:tcBorders>
              <w:top w:val="nil"/>
              <w:left w:val="nil"/>
              <w:bottom w:val="single" w:sz="4" w:space="0" w:color="auto"/>
              <w:right w:val="nil"/>
            </w:tcBorders>
            <w:shd w:val="clear" w:color="auto" w:fill="auto"/>
          </w:tcPr>
          <w:p w:rsidR="00903764" w:rsidRPr="00C86505" w:rsidRDefault="00903764" w:rsidP="00F63459">
            <w:pPr>
              <w:rPr>
                <w:rFonts w:asciiTheme="minorHAnsi" w:hAnsiTheme="minorHAnsi"/>
                <w:b/>
                <w:sz w:val="16"/>
                <w:szCs w:val="16"/>
              </w:rPr>
            </w:pPr>
          </w:p>
        </w:tc>
        <w:tc>
          <w:tcPr>
            <w:tcW w:w="1080" w:type="dxa"/>
            <w:tcBorders>
              <w:top w:val="nil"/>
              <w:left w:val="nil"/>
              <w:bottom w:val="single" w:sz="4" w:space="0" w:color="auto"/>
              <w:right w:val="nil"/>
            </w:tcBorders>
            <w:shd w:val="clear" w:color="auto" w:fill="auto"/>
          </w:tcPr>
          <w:p w:rsidR="00903764" w:rsidRPr="00C86505" w:rsidRDefault="00903764" w:rsidP="00F63459">
            <w:pPr>
              <w:ind w:left="162"/>
              <w:rPr>
                <w:rFonts w:asciiTheme="minorHAnsi" w:hAnsiTheme="minorHAnsi"/>
                <w:b/>
                <w:sz w:val="16"/>
                <w:szCs w:val="16"/>
              </w:rPr>
            </w:pPr>
          </w:p>
        </w:tc>
      </w:tr>
      <w:tr w:rsidR="00903764" w:rsidRPr="00BA26C6" w:rsidTr="00F63459">
        <w:trPr>
          <w:cantSplit/>
          <w:trHeight w:val="808"/>
        </w:trPr>
        <w:tc>
          <w:tcPr>
            <w:tcW w:w="738" w:type="dxa"/>
            <w:tcBorders>
              <w:top w:val="nil"/>
              <w:left w:val="nil"/>
              <w:bottom w:val="single" w:sz="4" w:space="0" w:color="auto"/>
              <w:right w:val="nil"/>
            </w:tcBorders>
            <w:shd w:val="clear" w:color="auto" w:fill="auto"/>
          </w:tcPr>
          <w:p w:rsidR="00903764" w:rsidRPr="00E13C3E" w:rsidRDefault="00903764" w:rsidP="00F63459">
            <w:pPr>
              <w:rPr>
                <w:sz w:val="16"/>
                <w:szCs w:val="16"/>
              </w:rPr>
            </w:pPr>
          </w:p>
        </w:tc>
        <w:tc>
          <w:tcPr>
            <w:tcW w:w="981" w:type="dxa"/>
            <w:tcBorders>
              <w:top w:val="nil"/>
              <w:left w:val="nil"/>
              <w:bottom w:val="single" w:sz="4" w:space="0" w:color="auto"/>
              <w:right w:val="single" w:sz="4" w:space="0" w:color="auto"/>
            </w:tcBorders>
            <w:shd w:val="clear" w:color="auto" w:fill="auto"/>
          </w:tcPr>
          <w:p w:rsidR="00903764" w:rsidRPr="003679AD" w:rsidRDefault="00903764" w:rsidP="00F63459">
            <w:pPr>
              <w:rPr>
                <w:rFonts w:asciiTheme="minorHAnsi" w:hAnsiTheme="minorHAnsi"/>
                <w:sz w:val="16"/>
                <w:szCs w:val="16"/>
              </w:rPr>
            </w:pPr>
          </w:p>
        </w:tc>
        <w:tc>
          <w:tcPr>
            <w:tcW w:w="999" w:type="dxa"/>
            <w:tcBorders>
              <w:top w:val="single" w:sz="4" w:space="0" w:color="auto"/>
              <w:left w:val="single" w:sz="4" w:space="0" w:color="auto"/>
            </w:tcBorders>
            <w:shd w:val="clear" w:color="auto" w:fill="D6E3BC" w:themeFill="accent3" w:themeFillTint="66"/>
          </w:tcPr>
          <w:p w:rsidR="00903764" w:rsidRPr="00E3603F" w:rsidRDefault="00903764" w:rsidP="00F63459">
            <w:pPr>
              <w:ind w:left="-9"/>
              <w:rPr>
                <w:rFonts w:asciiTheme="minorHAnsi" w:hAnsiTheme="minorHAnsi"/>
                <w:sz w:val="16"/>
                <w:szCs w:val="16"/>
              </w:rPr>
            </w:pPr>
            <w:r w:rsidRPr="00E3603F">
              <w:rPr>
                <w:rFonts w:asciiTheme="minorHAnsi" w:hAnsiTheme="minorHAnsi"/>
                <w:b/>
                <w:sz w:val="16"/>
                <w:szCs w:val="16"/>
              </w:rPr>
              <w:t>HMIS Consent Form</w:t>
            </w:r>
            <w:r w:rsidRPr="00E3603F">
              <w:rPr>
                <w:rFonts w:asciiTheme="minorHAnsi" w:hAnsiTheme="minorHAnsi"/>
                <w:sz w:val="16"/>
                <w:szCs w:val="16"/>
              </w:rPr>
              <w:t xml:space="preserve"> required?</w:t>
            </w:r>
          </w:p>
        </w:tc>
        <w:tc>
          <w:tcPr>
            <w:tcW w:w="1260" w:type="dxa"/>
            <w:shd w:val="clear" w:color="auto" w:fill="D6E3BC" w:themeFill="accent3" w:themeFillTint="66"/>
          </w:tcPr>
          <w:p w:rsidR="00903764" w:rsidRPr="003679AD" w:rsidRDefault="00903764" w:rsidP="00F63459">
            <w:pPr>
              <w:ind w:left="72"/>
              <w:rPr>
                <w:rFonts w:asciiTheme="minorHAnsi" w:hAnsiTheme="minorHAnsi"/>
                <w:sz w:val="16"/>
                <w:szCs w:val="16"/>
              </w:rPr>
            </w:pPr>
            <w:r>
              <w:rPr>
                <w:rFonts w:asciiTheme="minorHAnsi" w:hAnsiTheme="minorHAnsi"/>
                <w:b/>
                <w:sz w:val="16"/>
                <w:szCs w:val="16"/>
              </w:rPr>
              <w:t>Homeless Status</w:t>
            </w:r>
          </w:p>
        </w:tc>
        <w:tc>
          <w:tcPr>
            <w:tcW w:w="990" w:type="dxa"/>
            <w:shd w:val="clear" w:color="auto" w:fill="D6E3BC" w:themeFill="accent3" w:themeFillTint="66"/>
          </w:tcPr>
          <w:p w:rsidR="00903764" w:rsidRPr="003679AD" w:rsidRDefault="00903764" w:rsidP="00F63459">
            <w:pPr>
              <w:ind w:left="0"/>
              <w:rPr>
                <w:rFonts w:asciiTheme="minorHAnsi" w:hAnsiTheme="minorHAnsi"/>
                <w:sz w:val="16"/>
                <w:szCs w:val="16"/>
              </w:rPr>
            </w:pPr>
            <w:r>
              <w:rPr>
                <w:rFonts w:asciiTheme="minorHAnsi" w:hAnsiTheme="minorHAnsi"/>
                <w:b/>
                <w:sz w:val="16"/>
                <w:szCs w:val="16"/>
              </w:rPr>
              <w:t>Income</w:t>
            </w:r>
          </w:p>
        </w:tc>
        <w:tc>
          <w:tcPr>
            <w:tcW w:w="900" w:type="dxa"/>
            <w:shd w:val="clear" w:color="auto" w:fill="D6E3BC" w:themeFill="accent3" w:themeFillTint="66"/>
          </w:tcPr>
          <w:p w:rsidR="00903764" w:rsidRPr="007E6945" w:rsidRDefault="00903764" w:rsidP="00F63459">
            <w:pPr>
              <w:ind w:left="0"/>
              <w:rPr>
                <w:rFonts w:asciiTheme="minorHAnsi" w:hAnsiTheme="minorHAnsi"/>
                <w:b/>
                <w:sz w:val="16"/>
                <w:szCs w:val="16"/>
              </w:rPr>
            </w:pPr>
            <w:r w:rsidRPr="007E6945">
              <w:rPr>
                <w:rFonts w:asciiTheme="minorHAnsi" w:hAnsiTheme="minorHAnsi"/>
                <w:b/>
                <w:sz w:val="16"/>
                <w:szCs w:val="16"/>
              </w:rPr>
              <w:t>Eligible Children</w:t>
            </w:r>
          </w:p>
        </w:tc>
        <w:tc>
          <w:tcPr>
            <w:tcW w:w="1170" w:type="dxa"/>
            <w:tcBorders>
              <w:top w:val="single" w:sz="4" w:space="0" w:color="auto"/>
            </w:tcBorders>
            <w:shd w:val="clear" w:color="auto" w:fill="D6E3BC" w:themeFill="accent3" w:themeFillTint="66"/>
          </w:tcPr>
          <w:p w:rsidR="00903764" w:rsidRPr="003679AD" w:rsidRDefault="00903764" w:rsidP="00F63459">
            <w:pPr>
              <w:ind w:left="72"/>
              <w:rPr>
                <w:rFonts w:asciiTheme="minorHAnsi" w:hAnsiTheme="minorHAnsi"/>
                <w:sz w:val="16"/>
                <w:szCs w:val="16"/>
              </w:rPr>
            </w:pPr>
            <w:r w:rsidRPr="00893C1A">
              <w:rPr>
                <w:rFonts w:asciiTheme="minorHAnsi" w:hAnsiTheme="minorHAnsi"/>
                <w:b/>
                <w:sz w:val="16"/>
                <w:szCs w:val="16"/>
              </w:rPr>
              <w:t>Housing Stabilization</w:t>
            </w:r>
            <w:r w:rsidRPr="003679AD">
              <w:rPr>
                <w:rFonts w:asciiTheme="minorHAnsi" w:hAnsiTheme="minorHAnsi"/>
                <w:sz w:val="16"/>
                <w:szCs w:val="16"/>
              </w:rPr>
              <w:t xml:space="preserve"> Plan?</w:t>
            </w:r>
          </w:p>
        </w:tc>
        <w:tc>
          <w:tcPr>
            <w:tcW w:w="1350" w:type="dxa"/>
            <w:tcBorders>
              <w:top w:val="single" w:sz="4" w:space="0" w:color="auto"/>
            </w:tcBorders>
            <w:shd w:val="clear" w:color="auto" w:fill="D6E3BC" w:themeFill="accent3" w:themeFillTint="66"/>
          </w:tcPr>
          <w:p w:rsidR="00903764" w:rsidRPr="003679AD" w:rsidRDefault="00903764" w:rsidP="00F63459">
            <w:pPr>
              <w:ind w:left="72"/>
              <w:rPr>
                <w:rFonts w:asciiTheme="minorHAnsi" w:hAnsiTheme="minorHAnsi"/>
                <w:sz w:val="16"/>
                <w:szCs w:val="16"/>
              </w:rPr>
            </w:pPr>
            <w:r w:rsidRPr="00893C1A">
              <w:rPr>
                <w:rFonts w:asciiTheme="minorHAnsi" w:hAnsiTheme="minorHAnsi"/>
                <w:b/>
                <w:sz w:val="16"/>
                <w:szCs w:val="16"/>
              </w:rPr>
              <w:t>Rent reasonableness</w:t>
            </w:r>
            <w:r w:rsidRPr="003679AD">
              <w:rPr>
                <w:rFonts w:asciiTheme="minorHAnsi" w:hAnsiTheme="minorHAnsi"/>
                <w:sz w:val="16"/>
                <w:szCs w:val="16"/>
              </w:rPr>
              <w:t xml:space="preserve"> required?</w:t>
            </w:r>
          </w:p>
        </w:tc>
        <w:tc>
          <w:tcPr>
            <w:tcW w:w="990" w:type="dxa"/>
            <w:tcBorders>
              <w:top w:val="single" w:sz="4" w:space="0" w:color="auto"/>
            </w:tcBorders>
            <w:shd w:val="clear" w:color="auto" w:fill="D6E3BC" w:themeFill="accent3" w:themeFillTint="66"/>
          </w:tcPr>
          <w:p w:rsidR="00903764" w:rsidRDefault="00903764" w:rsidP="00F63459">
            <w:pPr>
              <w:ind w:left="83"/>
              <w:rPr>
                <w:rFonts w:asciiTheme="minorHAnsi" w:hAnsiTheme="minorHAnsi"/>
                <w:b/>
                <w:sz w:val="16"/>
                <w:szCs w:val="16"/>
              </w:rPr>
            </w:pPr>
            <w:r>
              <w:rPr>
                <w:rFonts w:asciiTheme="minorHAnsi" w:hAnsiTheme="minorHAnsi"/>
                <w:b/>
                <w:sz w:val="16"/>
                <w:szCs w:val="16"/>
              </w:rPr>
              <w:t>Executed Lease</w:t>
            </w:r>
          </w:p>
          <w:p w:rsidR="00903764" w:rsidRPr="001D24C0" w:rsidRDefault="00903764" w:rsidP="00F63459">
            <w:pPr>
              <w:ind w:left="83"/>
              <w:rPr>
                <w:rFonts w:asciiTheme="minorHAnsi" w:hAnsiTheme="minorHAnsi"/>
                <w:sz w:val="16"/>
                <w:szCs w:val="16"/>
              </w:rPr>
            </w:pPr>
            <w:r w:rsidRPr="001D24C0">
              <w:rPr>
                <w:rFonts w:asciiTheme="minorHAnsi" w:hAnsiTheme="minorHAnsi"/>
                <w:sz w:val="16"/>
                <w:szCs w:val="16"/>
              </w:rPr>
              <w:t>required?</w:t>
            </w:r>
          </w:p>
        </w:tc>
        <w:tc>
          <w:tcPr>
            <w:tcW w:w="990" w:type="dxa"/>
            <w:tcBorders>
              <w:top w:val="single" w:sz="4" w:space="0" w:color="auto"/>
            </w:tcBorders>
            <w:shd w:val="clear" w:color="auto" w:fill="D6E3BC" w:themeFill="accent3" w:themeFillTint="66"/>
          </w:tcPr>
          <w:p w:rsidR="00903764" w:rsidRPr="003679AD" w:rsidRDefault="00903764" w:rsidP="00F63459">
            <w:pPr>
              <w:ind w:left="72"/>
              <w:rPr>
                <w:rFonts w:asciiTheme="minorHAnsi" w:hAnsiTheme="minorHAnsi"/>
                <w:sz w:val="16"/>
                <w:szCs w:val="16"/>
              </w:rPr>
            </w:pPr>
            <w:r w:rsidRPr="00C86505">
              <w:rPr>
                <w:rFonts w:asciiTheme="minorHAnsi" w:hAnsiTheme="minorHAnsi"/>
                <w:b/>
                <w:sz w:val="16"/>
                <w:szCs w:val="16"/>
              </w:rPr>
              <w:t>H</w:t>
            </w:r>
            <w:r>
              <w:rPr>
                <w:rFonts w:asciiTheme="minorHAnsi" w:hAnsiTheme="minorHAnsi"/>
                <w:b/>
                <w:sz w:val="16"/>
                <w:szCs w:val="16"/>
              </w:rPr>
              <w:t xml:space="preserve">ousing </w:t>
            </w:r>
            <w:r w:rsidRPr="00E3603F">
              <w:rPr>
                <w:rFonts w:asciiTheme="minorHAnsi" w:hAnsiTheme="minorHAnsi"/>
                <w:b/>
                <w:sz w:val="16"/>
                <w:szCs w:val="16"/>
              </w:rPr>
              <w:t xml:space="preserve">inspection </w:t>
            </w:r>
            <w:r>
              <w:rPr>
                <w:rFonts w:asciiTheme="minorHAnsi" w:hAnsiTheme="minorHAnsi"/>
                <w:sz w:val="16"/>
                <w:szCs w:val="16"/>
              </w:rPr>
              <w:t>required</w:t>
            </w:r>
            <w:r w:rsidRPr="003679AD">
              <w:rPr>
                <w:rFonts w:asciiTheme="minorHAnsi" w:hAnsiTheme="minorHAnsi"/>
                <w:sz w:val="16"/>
                <w:szCs w:val="16"/>
              </w:rPr>
              <w:t>?</w:t>
            </w:r>
          </w:p>
        </w:tc>
        <w:tc>
          <w:tcPr>
            <w:tcW w:w="1080" w:type="dxa"/>
            <w:tcBorders>
              <w:top w:val="single" w:sz="4" w:space="0" w:color="auto"/>
            </w:tcBorders>
            <w:shd w:val="clear" w:color="auto" w:fill="D6E3BC" w:themeFill="accent3" w:themeFillTint="66"/>
          </w:tcPr>
          <w:p w:rsidR="00903764" w:rsidRPr="003679AD" w:rsidRDefault="00903764" w:rsidP="00F63459">
            <w:pPr>
              <w:ind w:left="72"/>
              <w:rPr>
                <w:rFonts w:asciiTheme="minorHAnsi" w:hAnsiTheme="minorHAnsi"/>
                <w:sz w:val="16"/>
                <w:szCs w:val="16"/>
              </w:rPr>
            </w:pPr>
            <w:r w:rsidRPr="00C86505">
              <w:rPr>
                <w:rFonts w:asciiTheme="minorHAnsi" w:hAnsiTheme="minorHAnsi"/>
                <w:b/>
                <w:sz w:val="16"/>
                <w:szCs w:val="16"/>
              </w:rPr>
              <w:t>Lead paint</w:t>
            </w:r>
            <w:r w:rsidRPr="003679AD">
              <w:rPr>
                <w:rFonts w:asciiTheme="minorHAnsi" w:hAnsiTheme="minorHAnsi"/>
                <w:sz w:val="16"/>
                <w:szCs w:val="16"/>
              </w:rPr>
              <w:t xml:space="preserve"> </w:t>
            </w:r>
            <w:r w:rsidRPr="00E3603F">
              <w:rPr>
                <w:rFonts w:asciiTheme="minorHAnsi" w:hAnsiTheme="minorHAnsi"/>
                <w:b/>
                <w:sz w:val="16"/>
                <w:szCs w:val="16"/>
              </w:rPr>
              <w:t xml:space="preserve">inspection </w:t>
            </w:r>
            <w:r>
              <w:rPr>
                <w:rFonts w:asciiTheme="minorHAnsi" w:hAnsiTheme="minorHAnsi"/>
                <w:sz w:val="16"/>
                <w:szCs w:val="16"/>
              </w:rPr>
              <w:t>required</w:t>
            </w:r>
            <w:r w:rsidRPr="003679AD">
              <w:rPr>
                <w:rFonts w:asciiTheme="minorHAnsi" w:hAnsiTheme="minorHAnsi"/>
                <w:sz w:val="16"/>
                <w:szCs w:val="16"/>
              </w:rPr>
              <w:t>?</w:t>
            </w:r>
          </w:p>
        </w:tc>
      </w:tr>
      <w:tr w:rsidR="00903764" w:rsidRPr="00BA26C6" w:rsidTr="00F63459">
        <w:trPr>
          <w:trHeight w:val="791"/>
        </w:trPr>
        <w:tc>
          <w:tcPr>
            <w:tcW w:w="738" w:type="dxa"/>
            <w:vMerge w:val="restart"/>
            <w:tcBorders>
              <w:top w:val="single" w:sz="4" w:space="0" w:color="auto"/>
            </w:tcBorders>
            <w:shd w:val="clear" w:color="auto" w:fill="C2D69B" w:themeFill="accent3" w:themeFillTint="99"/>
            <w:textDirection w:val="btLr"/>
            <w:vAlign w:val="center"/>
          </w:tcPr>
          <w:p w:rsidR="00903764" w:rsidRPr="003679AD" w:rsidRDefault="00903764" w:rsidP="00F63459">
            <w:pPr>
              <w:ind w:left="113" w:right="113"/>
              <w:jc w:val="center"/>
              <w:rPr>
                <w:rFonts w:asciiTheme="minorHAnsi" w:hAnsiTheme="minorHAnsi"/>
                <w:b/>
                <w:sz w:val="18"/>
                <w:szCs w:val="18"/>
              </w:rPr>
            </w:pPr>
            <w:r w:rsidRPr="003679AD">
              <w:rPr>
                <w:rFonts w:asciiTheme="minorHAnsi" w:hAnsiTheme="minorHAnsi"/>
                <w:b/>
                <w:sz w:val="18"/>
                <w:szCs w:val="18"/>
              </w:rPr>
              <w:t>Homeless</w:t>
            </w:r>
          </w:p>
        </w:tc>
        <w:tc>
          <w:tcPr>
            <w:tcW w:w="981" w:type="dxa"/>
            <w:tcBorders>
              <w:top w:val="single" w:sz="4" w:space="0" w:color="auto"/>
            </w:tcBorders>
            <w:shd w:val="clear" w:color="auto" w:fill="D6E3BC" w:themeFill="accent3" w:themeFillTint="66"/>
            <w:vAlign w:val="center"/>
          </w:tcPr>
          <w:p w:rsidR="00903764" w:rsidRDefault="00903764" w:rsidP="00F63459">
            <w:pPr>
              <w:ind w:left="0"/>
              <w:jc w:val="center"/>
              <w:rPr>
                <w:rFonts w:asciiTheme="minorHAnsi" w:hAnsiTheme="minorHAnsi"/>
                <w:sz w:val="16"/>
                <w:szCs w:val="16"/>
              </w:rPr>
            </w:pPr>
            <w:r>
              <w:rPr>
                <w:rFonts w:asciiTheme="minorHAnsi" w:hAnsiTheme="minorHAnsi"/>
                <w:sz w:val="16"/>
                <w:szCs w:val="16"/>
              </w:rPr>
              <w:t>Congregate Living Facility up to 24 months</w:t>
            </w:r>
          </w:p>
        </w:tc>
        <w:tc>
          <w:tcPr>
            <w:tcW w:w="999" w:type="dxa"/>
            <w:shd w:val="clear" w:color="auto" w:fill="DBE5F1" w:themeFill="accent1" w:themeFillTint="33"/>
            <w:vAlign w:val="center"/>
          </w:tcPr>
          <w:p w:rsidR="00903764" w:rsidRPr="00FE2611" w:rsidRDefault="00903764" w:rsidP="00F63459">
            <w:pPr>
              <w:ind w:left="81"/>
              <w:jc w:val="center"/>
              <w:rPr>
                <w:rFonts w:asciiTheme="minorHAnsi" w:hAnsiTheme="minorHAnsi"/>
                <w:sz w:val="16"/>
                <w:szCs w:val="16"/>
                <w:highlight w:val="darkGray"/>
              </w:rPr>
            </w:pPr>
            <w:r w:rsidRPr="0096582A">
              <w:rPr>
                <w:rFonts w:asciiTheme="minorHAnsi" w:hAnsiTheme="minorHAnsi"/>
                <w:sz w:val="32"/>
                <w:szCs w:val="32"/>
              </w:rPr>
              <w:sym w:font="Wingdings 2" w:char="F050"/>
            </w:r>
          </w:p>
        </w:tc>
        <w:tc>
          <w:tcPr>
            <w:tcW w:w="1260" w:type="dxa"/>
            <w:shd w:val="clear" w:color="auto" w:fill="D9D9D9" w:themeFill="background1" w:themeFillShade="D9"/>
            <w:vAlign w:val="center"/>
          </w:tcPr>
          <w:p w:rsidR="00903764" w:rsidRPr="00FE2611" w:rsidRDefault="00903764" w:rsidP="00F63459">
            <w:pPr>
              <w:ind w:left="81"/>
              <w:jc w:val="center"/>
              <w:rPr>
                <w:rFonts w:asciiTheme="minorHAnsi" w:hAnsiTheme="minorHAnsi"/>
                <w:sz w:val="16"/>
                <w:szCs w:val="16"/>
                <w:highlight w:val="darkGray"/>
              </w:rPr>
            </w:pPr>
          </w:p>
        </w:tc>
        <w:tc>
          <w:tcPr>
            <w:tcW w:w="990" w:type="dxa"/>
            <w:shd w:val="clear" w:color="auto" w:fill="D9D9D9" w:themeFill="background1" w:themeFillShade="D9"/>
            <w:vAlign w:val="center"/>
          </w:tcPr>
          <w:p w:rsidR="00903764" w:rsidRPr="00FE2611" w:rsidRDefault="00903764" w:rsidP="00F63459">
            <w:pPr>
              <w:ind w:left="81"/>
              <w:jc w:val="center"/>
              <w:rPr>
                <w:rFonts w:asciiTheme="minorHAnsi" w:hAnsiTheme="minorHAnsi"/>
                <w:sz w:val="32"/>
                <w:szCs w:val="32"/>
                <w:highlight w:val="darkGray"/>
              </w:rPr>
            </w:pPr>
          </w:p>
        </w:tc>
        <w:tc>
          <w:tcPr>
            <w:tcW w:w="900" w:type="dxa"/>
            <w:shd w:val="clear" w:color="auto" w:fill="D9D9D9" w:themeFill="background1" w:themeFillShade="D9"/>
            <w:vAlign w:val="center"/>
          </w:tcPr>
          <w:p w:rsidR="00903764" w:rsidRPr="00FE2611" w:rsidRDefault="00903764" w:rsidP="00F63459">
            <w:pPr>
              <w:ind w:left="81"/>
              <w:jc w:val="center"/>
              <w:rPr>
                <w:rFonts w:asciiTheme="minorHAnsi" w:hAnsiTheme="minorHAnsi"/>
                <w:sz w:val="16"/>
                <w:szCs w:val="16"/>
                <w:highlight w:val="darkGray"/>
              </w:rPr>
            </w:pPr>
          </w:p>
        </w:tc>
        <w:tc>
          <w:tcPr>
            <w:tcW w:w="1170" w:type="dxa"/>
            <w:shd w:val="clear" w:color="auto" w:fill="D9D9D9" w:themeFill="background1" w:themeFillShade="D9"/>
            <w:vAlign w:val="center"/>
          </w:tcPr>
          <w:p w:rsidR="00903764" w:rsidRPr="00FE2611" w:rsidRDefault="00903764" w:rsidP="00F63459">
            <w:pPr>
              <w:ind w:left="81"/>
              <w:jc w:val="center"/>
              <w:rPr>
                <w:rFonts w:asciiTheme="minorHAnsi" w:hAnsiTheme="minorHAnsi"/>
                <w:sz w:val="16"/>
                <w:szCs w:val="16"/>
                <w:highlight w:val="darkGray"/>
              </w:rPr>
            </w:pPr>
          </w:p>
        </w:tc>
        <w:tc>
          <w:tcPr>
            <w:tcW w:w="1350" w:type="dxa"/>
            <w:shd w:val="clear" w:color="auto" w:fill="D9D9D9" w:themeFill="background1" w:themeFillShade="D9"/>
            <w:vAlign w:val="center"/>
          </w:tcPr>
          <w:p w:rsidR="00903764" w:rsidRPr="00FE2611" w:rsidRDefault="00903764" w:rsidP="00F63459">
            <w:pPr>
              <w:ind w:left="81"/>
              <w:jc w:val="center"/>
              <w:rPr>
                <w:rFonts w:asciiTheme="minorHAnsi" w:hAnsiTheme="minorHAnsi"/>
                <w:sz w:val="16"/>
                <w:szCs w:val="16"/>
                <w:highlight w:val="darkGray"/>
              </w:rPr>
            </w:pPr>
          </w:p>
        </w:tc>
        <w:tc>
          <w:tcPr>
            <w:tcW w:w="990" w:type="dxa"/>
            <w:shd w:val="clear" w:color="auto" w:fill="D9D9D9" w:themeFill="background1" w:themeFillShade="D9"/>
          </w:tcPr>
          <w:p w:rsidR="00903764" w:rsidRPr="00FE2611" w:rsidRDefault="00903764" w:rsidP="00F63459">
            <w:pPr>
              <w:ind w:left="81"/>
              <w:jc w:val="center"/>
              <w:rPr>
                <w:rFonts w:asciiTheme="minorHAnsi" w:hAnsiTheme="minorHAnsi"/>
                <w:sz w:val="32"/>
                <w:szCs w:val="32"/>
                <w:highlight w:val="darkGray"/>
              </w:rPr>
            </w:pPr>
          </w:p>
        </w:tc>
        <w:tc>
          <w:tcPr>
            <w:tcW w:w="990" w:type="dxa"/>
            <w:shd w:val="clear" w:color="auto" w:fill="D9D9D9" w:themeFill="background1" w:themeFillShade="D9"/>
            <w:vAlign w:val="center"/>
          </w:tcPr>
          <w:p w:rsidR="00903764" w:rsidRPr="00FE2611" w:rsidRDefault="00903764" w:rsidP="00F63459">
            <w:pPr>
              <w:ind w:left="81"/>
              <w:jc w:val="center"/>
              <w:rPr>
                <w:rFonts w:asciiTheme="minorHAnsi" w:hAnsiTheme="minorHAnsi"/>
                <w:sz w:val="32"/>
                <w:szCs w:val="32"/>
                <w:highlight w:val="darkGray"/>
              </w:rPr>
            </w:pPr>
          </w:p>
        </w:tc>
        <w:tc>
          <w:tcPr>
            <w:tcW w:w="1080" w:type="dxa"/>
            <w:shd w:val="clear" w:color="auto" w:fill="D9D9D9" w:themeFill="background1" w:themeFillShade="D9"/>
            <w:vAlign w:val="center"/>
          </w:tcPr>
          <w:p w:rsidR="00903764" w:rsidRPr="00FE2611" w:rsidRDefault="00903764" w:rsidP="00F63459">
            <w:pPr>
              <w:ind w:left="81"/>
              <w:jc w:val="center"/>
              <w:rPr>
                <w:rFonts w:asciiTheme="minorHAnsi" w:hAnsiTheme="minorHAnsi"/>
                <w:sz w:val="32"/>
                <w:szCs w:val="32"/>
                <w:highlight w:val="darkGray"/>
              </w:rPr>
            </w:pPr>
          </w:p>
        </w:tc>
      </w:tr>
      <w:tr w:rsidR="00903764" w:rsidRPr="00BA26C6" w:rsidTr="00F63459">
        <w:trPr>
          <w:trHeight w:val="393"/>
        </w:trPr>
        <w:tc>
          <w:tcPr>
            <w:tcW w:w="738" w:type="dxa"/>
            <w:vMerge/>
            <w:shd w:val="clear" w:color="auto" w:fill="C2D69B" w:themeFill="accent3" w:themeFillTint="99"/>
            <w:textDirection w:val="btLr"/>
            <w:vAlign w:val="center"/>
          </w:tcPr>
          <w:p w:rsidR="00903764" w:rsidRPr="003679AD" w:rsidRDefault="00903764" w:rsidP="00F63459">
            <w:pPr>
              <w:ind w:left="113" w:right="113"/>
              <w:jc w:val="center"/>
              <w:rPr>
                <w:rFonts w:asciiTheme="minorHAnsi" w:hAnsiTheme="minorHAnsi"/>
                <w:b/>
                <w:sz w:val="18"/>
                <w:szCs w:val="18"/>
              </w:rPr>
            </w:pPr>
          </w:p>
        </w:tc>
        <w:tc>
          <w:tcPr>
            <w:tcW w:w="981" w:type="dxa"/>
            <w:shd w:val="clear" w:color="auto" w:fill="D6E3BC" w:themeFill="accent3" w:themeFillTint="66"/>
            <w:vAlign w:val="center"/>
          </w:tcPr>
          <w:p w:rsidR="00903764" w:rsidRDefault="00903764" w:rsidP="00F63459">
            <w:pPr>
              <w:ind w:left="0"/>
              <w:jc w:val="center"/>
              <w:rPr>
                <w:rFonts w:asciiTheme="minorHAnsi" w:hAnsiTheme="minorHAnsi"/>
                <w:sz w:val="16"/>
                <w:szCs w:val="16"/>
              </w:rPr>
            </w:pPr>
            <w:r>
              <w:rPr>
                <w:rFonts w:asciiTheme="minorHAnsi" w:hAnsiTheme="minorHAnsi"/>
                <w:sz w:val="16"/>
                <w:szCs w:val="16"/>
              </w:rPr>
              <w:t xml:space="preserve">Single-household units, &lt;90 days  </w:t>
            </w:r>
          </w:p>
        </w:tc>
        <w:tc>
          <w:tcPr>
            <w:tcW w:w="999" w:type="dxa"/>
            <w:shd w:val="clear" w:color="auto" w:fill="DBE5F1" w:themeFill="accent1" w:themeFillTint="33"/>
            <w:vAlign w:val="center"/>
          </w:tcPr>
          <w:p w:rsidR="00903764" w:rsidRPr="00E3603F" w:rsidRDefault="00903764" w:rsidP="00F63459">
            <w:pPr>
              <w:ind w:left="81"/>
              <w:jc w:val="center"/>
              <w:rPr>
                <w:rFonts w:asciiTheme="minorHAnsi" w:hAnsiTheme="minorHAnsi"/>
                <w:sz w:val="32"/>
                <w:szCs w:val="32"/>
              </w:rPr>
            </w:pPr>
            <w:r w:rsidRPr="0096582A">
              <w:rPr>
                <w:rFonts w:asciiTheme="minorHAnsi" w:hAnsiTheme="minorHAnsi"/>
                <w:sz w:val="32"/>
                <w:szCs w:val="32"/>
              </w:rPr>
              <w:sym w:font="Wingdings 2" w:char="F050"/>
            </w:r>
          </w:p>
        </w:tc>
        <w:tc>
          <w:tcPr>
            <w:tcW w:w="126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c>
          <w:tcPr>
            <w:tcW w:w="990" w:type="dxa"/>
            <w:shd w:val="clear" w:color="auto" w:fill="D9D9D9" w:themeFill="background1" w:themeFillShade="D9"/>
            <w:vAlign w:val="center"/>
          </w:tcPr>
          <w:p w:rsidR="00903764" w:rsidRPr="0096582A" w:rsidRDefault="00903764" w:rsidP="00F63459">
            <w:pPr>
              <w:ind w:left="81"/>
              <w:jc w:val="center"/>
              <w:rPr>
                <w:rFonts w:asciiTheme="minorHAnsi" w:hAnsiTheme="minorHAnsi"/>
                <w:sz w:val="32"/>
                <w:szCs w:val="32"/>
              </w:rPr>
            </w:pPr>
          </w:p>
        </w:tc>
        <w:tc>
          <w:tcPr>
            <w:tcW w:w="900" w:type="dxa"/>
            <w:shd w:val="clear" w:color="auto" w:fill="D9D9D9" w:themeFill="background1" w:themeFillShade="D9"/>
            <w:vAlign w:val="center"/>
          </w:tcPr>
          <w:p w:rsidR="00903764" w:rsidRPr="0096582A" w:rsidRDefault="00903764" w:rsidP="00F63459">
            <w:pPr>
              <w:ind w:left="81"/>
              <w:jc w:val="center"/>
              <w:rPr>
                <w:rFonts w:asciiTheme="minorHAnsi" w:hAnsiTheme="minorHAnsi"/>
                <w:sz w:val="32"/>
                <w:szCs w:val="32"/>
              </w:rPr>
            </w:pPr>
          </w:p>
        </w:tc>
        <w:tc>
          <w:tcPr>
            <w:tcW w:w="117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c>
          <w:tcPr>
            <w:tcW w:w="135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c>
          <w:tcPr>
            <w:tcW w:w="990" w:type="dxa"/>
            <w:shd w:val="clear" w:color="auto" w:fill="D9D9D9" w:themeFill="background1" w:themeFillShade="D9"/>
          </w:tcPr>
          <w:p w:rsidR="00903764" w:rsidRPr="003679AD" w:rsidRDefault="00903764" w:rsidP="00F63459">
            <w:pPr>
              <w:ind w:left="81"/>
              <w:jc w:val="center"/>
              <w:rPr>
                <w:rFonts w:asciiTheme="minorHAnsi" w:hAnsiTheme="minorHAnsi"/>
                <w:sz w:val="16"/>
                <w:szCs w:val="16"/>
              </w:rPr>
            </w:pPr>
          </w:p>
        </w:tc>
        <w:tc>
          <w:tcPr>
            <w:tcW w:w="99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c>
          <w:tcPr>
            <w:tcW w:w="108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r>
      <w:tr w:rsidR="00903764" w:rsidRPr="00BA26C6" w:rsidTr="00F63459">
        <w:trPr>
          <w:trHeight w:val="393"/>
        </w:trPr>
        <w:tc>
          <w:tcPr>
            <w:tcW w:w="738" w:type="dxa"/>
            <w:vMerge/>
            <w:shd w:val="clear" w:color="auto" w:fill="C2D69B" w:themeFill="accent3" w:themeFillTint="99"/>
            <w:textDirection w:val="btLr"/>
            <w:vAlign w:val="center"/>
          </w:tcPr>
          <w:p w:rsidR="00903764" w:rsidRPr="003679AD" w:rsidRDefault="00903764" w:rsidP="00F63459">
            <w:pPr>
              <w:ind w:left="113" w:right="113"/>
              <w:jc w:val="center"/>
              <w:rPr>
                <w:rFonts w:asciiTheme="minorHAnsi" w:hAnsiTheme="minorHAnsi"/>
                <w:b/>
                <w:sz w:val="18"/>
                <w:szCs w:val="18"/>
              </w:rPr>
            </w:pPr>
          </w:p>
        </w:tc>
        <w:tc>
          <w:tcPr>
            <w:tcW w:w="981" w:type="dxa"/>
            <w:shd w:val="clear" w:color="auto" w:fill="D6E3BC" w:themeFill="accent3" w:themeFillTint="66"/>
            <w:vAlign w:val="center"/>
          </w:tcPr>
          <w:p w:rsidR="00903764" w:rsidRPr="003679AD" w:rsidRDefault="00903764" w:rsidP="00F63459">
            <w:pPr>
              <w:ind w:left="0"/>
              <w:jc w:val="center"/>
              <w:rPr>
                <w:rFonts w:asciiTheme="minorHAnsi" w:hAnsiTheme="minorHAnsi"/>
                <w:sz w:val="16"/>
                <w:szCs w:val="16"/>
              </w:rPr>
            </w:pPr>
            <w:r>
              <w:rPr>
                <w:rFonts w:asciiTheme="minorHAnsi" w:hAnsiTheme="minorHAnsi"/>
                <w:sz w:val="16"/>
                <w:szCs w:val="16"/>
              </w:rPr>
              <w:t xml:space="preserve">Single-household units, </w:t>
            </w:r>
            <w:r w:rsidRPr="003679AD">
              <w:rPr>
                <w:rFonts w:asciiTheme="minorHAnsi" w:hAnsiTheme="minorHAnsi"/>
                <w:sz w:val="16"/>
                <w:szCs w:val="16"/>
              </w:rPr>
              <w:t xml:space="preserve">≥ </w:t>
            </w:r>
            <w:r>
              <w:rPr>
                <w:rFonts w:asciiTheme="minorHAnsi" w:hAnsiTheme="minorHAnsi"/>
                <w:sz w:val="16"/>
                <w:szCs w:val="16"/>
              </w:rPr>
              <w:t>90 days  and up to 24 months</w:t>
            </w:r>
          </w:p>
        </w:tc>
        <w:tc>
          <w:tcPr>
            <w:tcW w:w="999" w:type="dxa"/>
            <w:shd w:val="clear" w:color="auto" w:fill="DBE5F1" w:themeFill="accent1" w:themeFillTint="33"/>
            <w:vAlign w:val="center"/>
          </w:tcPr>
          <w:p w:rsidR="00903764" w:rsidRPr="0096582A" w:rsidRDefault="00903764" w:rsidP="00F63459">
            <w:pPr>
              <w:ind w:left="81"/>
              <w:jc w:val="center"/>
              <w:rPr>
                <w:rFonts w:asciiTheme="minorHAnsi" w:hAnsiTheme="minorHAnsi"/>
                <w:sz w:val="32"/>
                <w:szCs w:val="32"/>
              </w:rPr>
            </w:pPr>
            <w:r w:rsidRPr="0096582A">
              <w:rPr>
                <w:rFonts w:asciiTheme="minorHAnsi" w:hAnsiTheme="minorHAnsi"/>
                <w:sz w:val="32"/>
                <w:szCs w:val="32"/>
              </w:rPr>
              <w:sym w:font="Wingdings 2" w:char="F050"/>
            </w:r>
          </w:p>
        </w:tc>
        <w:tc>
          <w:tcPr>
            <w:tcW w:w="126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99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90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117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135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c>
          <w:tcPr>
            <w:tcW w:w="99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c>
          <w:tcPr>
            <w:tcW w:w="99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c>
          <w:tcPr>
            <w:tcW w:w="108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r>
      <w:tr w:rsidR="00903764" w:rsidRPr="00BA26C6" w:rsidTr="00F63459">
        <w:trPr>
          <w:trHeight w:val="946"/>
        </w:trPr>
        <w:tc>
          <w:tcPr>
            <w:tcW w:w="738" w:type="dxa"/>
            <w:vMerge/>
            <w:shd w:val="clear" w:color="auto" w:fill="C2D69B" w:themeFill="accent3" w:themeFillTint="99"/>
          </w:tcPr>
          <w:p w:rsidR="00903764" w:rsidRPr="003679AD" w:rsidRDefault="00903764" w:rsidP="00F63459">
            <w:pPr>
              <w:rPr>
                <w:rFonts w:asciiTheme="minorHAnsi" w:hAnsiTheme="minorHAnsi"/>
                <w:b/>
                <w:sz w:val="18"/>
                <w:szCs w:val="18"/>
              </w:rPr>
            </w:pPr>
          </w:p>
        </w:tc>
        <w:tc>
          <w:tcPr>
            <w:tcW w:w="981" w:type="dxa"/>
            <w:shd w:val="clear" w:color="auto" w:fill="D6E3BC" w:themeFill="accent3" w:themeFillTint="66"/>
            <w:vAlign w:val="center"/>
          </w:tcPr>
          <w:p w:rsidR="00903764" w:rsidRPr="003679AD" w:rsidRDefault="00903764" w:rsidP="00F63459">
            <w:pPr>
              <w:ind w:left="0"/>
              <w:jc w:val="center"/>
              <w:rPr>
                <w:rFonts w:asciiTheme="minorHAnsi" w:hAnsiTheme="minorHAnsi"/>
                <w:sz w:val="16"/>
                <w:szCs w:val="16"/>
              </w:rPr>
            </w:pPr>
            <w:r>
              <w:rPr>
                <w:rFonts w:asciiTheme="minorHAnsi" w:hAnsiTheme="minorHAnsi"/>
                <w:sz w:val="16"/>
                <w:szCs w:val="16"/>
              </w:rPr>
              <w:t>Rent Assistance</w:t>
            </w:r>
          </w:p>
        </w:tc>
        <w:tc>
          <w:tcPr>
            <w:tcW w:w="999" w:type="dxa"/>
            <w:shd w:val="clear" w:color="auto" w:fill="DBE5F1" w:themeFill="accent1" w:themeFillTint="33"/>
            <w:vAlign w:val="center"/>
          </w:tcPr>
          <w:p w:rsidR="00903764" w:rsidRPr="0096582A" w:rsidRDefault="00903764" w:rsidP="00F63459">
            <w:pPr>
              <w:ind w:left="81"/>
              <w:jc w:val="center"/>
              <w:rPr>
                <w:rFonts w:asciiTheme="minorHAnsi" w:hAnsiTheme="minorHAnsi"/>
                <w:sz w:val="32"/>
                <w:szCs w:val="32"/>
              </w:rPr>
            </w:pPr>
            <w:r w:rsidRPr="0096582A">
              <w:rPr>
                <w:rFonts w:asciiTheme="minorHAnsi" w:hAnsiTheme="minorHAnsi"/>
                <w:sz w:val="32"/>
                <w:szCs w:val="32"/>
              </w:rPr>
              <w:sym w:font="Wingdings 2" w:char="F050"/>
            </w:r>
          </w:p>
        </w:tc>
        <w:tc>
          <w:tcPr>
            <w:tcW w:w="1260" w:type="dxa"/>
            <w:shd w:val="clear" w:color="auto" w:fill="DBE5F1" w:themeFill="accent1" w:themeFillTint="33"/>
            <w:vAlign w:val="center"/>
          </w:tcPr>
          <w:p w:rsidR="00903764" w:rsidRPr="0096582A" w:rsidRDefault="00903764" w:rsidP="00F63459">
            <w:pPr>
              <w:ind w:left="81"/>
              <w:jc w:val="center"/>
              <w:rPr>
                <w:rFonts w:asciiTheme="minorHAnsi" w:hAnsiTheme="minorHAnsi"/>
                <w:sz w:val="32"/>
                <w:szCs w:val="32"/>
              </w:rPr>
            </w:pPr>
            <w:r w:rsidRPr="0096582A">
              <w:rPr>
                <w:rFonts w:asciiTheme="minorHAnsi" w:hAnsiTheme="minorHAnsi"/>
                <w:sz w:val="32"/>
                <w:szCs w:val="32"/>
              </w:rPr>
              <w:sym w:font="Wingdings 2" w:char="F050"/>
            </w:r>
          </w:p>
        </w:tc>
        <w:tc>
          <w:tcPr>
            <w:tcW w:w="99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90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1170" w:type="dxa"/>
            <w:shd w:val="clear" w:color="auto" w:fill="DBE5F1" w:themeFill="accent1" w:themeFillTint="33"/>
            <w:vAlign w:val="center"/>
          </w:tcPr>
          <w:p w:rsidR="00903764"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r w:rsidRPr="003679AD">
              <w:rPr>
                <w:rFonts w:asciiTheme="minorHAnsi" w:hAnsiTheme="minorHAnsi"/>
                <w:sz w:val="16"/>
                <w:szCs w:val="16"/>
              </w:rPr>
              <w:t>,</w:t>
            </w:r>
          </w:p>
          <w:p w:rsidR="00903764" w:rsidRPr="003679AD" w:rsidRDefault="00903764" w:rsidP="00F63459">
            <w:pPr>
              <w:ind w:left="81"/>
              <w:jc w:val="center"/>
              <w:rPr>
                <w:rFonts w:asciiTheme="minorHAnsi" w:hAnsiTheme="minorHAnsi"/>
                <w:sz w:val="16"/>
                <w:szCs w:val="16"/>
              </w:rPr>
            </w:pPr>
            <w:r w:rsidRPr="003679AD">
              <w:rPr>
                <w:rFonts w:asciiTheme="minorHAnsi" w:hAnsiTheme="minorHAnsi"/>
                <w:sz w:val="16"/>
                <w:szCs w:val="16"/>
              </w:rPr>
              <w:t>≥ 90 days</w:t>
            </w:r>
          </w:p>
        </w:tc>
        <w:tc>
          <w:tcPr>
            <w:tcW w:w="135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990" w:type="dxa"/>
            <w:shd w:val="clear" w:color="auto" w:fill="DBE5F1" w:themeFill="accent1" w:themeFillTint="33"/>
            <w:vAlign w:val="center"/>
          </w:tcPr>
          <w:p w:rsidR="00903764" w:rsidRPr="0096582A" w:rsidRDefault="00903764" w:rsidP="00F63459">
            <w:pPr>
              <w:ind w:left="81"/>
              <w:jc w:val="center"/>
              <w:rPr>
                <w:rFonts w:asciiTheme="minorHAnsi" w:hAnsiTheme="minorHAnsi"/>
                <w:sz w:val="32"/>
                <w:szCs w:val="32"/>
              </w:rPr>
            </w:pPr>
            <w:r w:rsidRPr="0096582A">
              <w:rPr>
                <w:rFonts w:asciiTheme="minorHAnsi" w:hAnsiTheme="minorHAnsi"/>
                <w:sz w:val="32"/>
                <w:szCs w:val="32"/>
              </w:rPr>
              <w:sym w:font="Wingdings 2" w:char="F050"/>
            </w:r>
          </w:p>
        </w:tc>
        <w:tc>
          <w:tcPr>
            <w:tcW w:w="99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108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r>
      <w:tr w:rsidR="00903764" w:rsidRPr="00BA26C6" w:rsidTr="00F63459">
        <w:trPr>
          <w:cantSplit/>
          <w:trHeight w:val="1819"/>
        </w:trPr>
        <w:tc>
          <w:tcPr>
            <w:tcW w:w="738" w:type="dxa"/>
            <w:shd w:val="clear" w:color="auto" w:fill="C2D69B" w:themeFill="accent3" w:themeFillTint="99"/>
            <w:textDirection w:val="btLr"/>
          </w:tcPr>
          <w:p w:rsidR="00903764" w:rsidRPr="003679AD" w:rsidRDefault="00903764" w:rsidP="00F63459">
            <w:pPr>
              <w:spacing w:line="168" w:lineRule="auto"/>
              <w:ind w:left="113" w:right="115"/>
              <w:rPr>
                <w:rFonts w:asciiTheme="minorHAnsi" w:hAnsiTheme="minorHAnsi"/>
                <w:b/>
                <w:sz w:val="18"/>
                <w:szCs w:val="18"/>
              </w:rPr>
            </w:pPr>
            <w:r w:rsidRPr="003679AD">
              <w:rPr>
                <w:rFonts w:asciiTheme="minorHAnsi" w:hAnsiTheme="minorHAnsi"/>
                <w:b/>
                <w:sz w:val="18"/>
                <w:szCs w:val="18"/>
              </w:rPr>
              <w:t xml:space="preserve">At Risk of </w:t>
            </w:r>
            <w:r>
              <w:rPr>
                <w:rFonts w:asciiTheme="minorHAnsi" w:hAnsiTheme="minorHAnsi"/>
                <w:b/>
                <w:sz w:val="18"/>
                <w:szCs w:val="18"/>
              </w:rPr>
              <w:t xml:space="preserve"> Becoming Homeless</w:t>
            </w:r>
          </w:p>
        </w:tc>
        <w:tc>
          <w:tcPr>
            <w:tcW w:w="981" w:type="dxa"/>
            <w:shd w:val="clear" w:color="auto" w:fill="D6E3BC" w:themeFill="accent3" w:themeFillTint="66"/>
            <w:vAlign w:val="center"/>
          </w:tcPr>
          <w:p w:rsidR="00903764" w:rsidRPr="003679AD" w:rsidRDefault="00903764" w:rsidP="00F63459">
            <w:pPr>
              <w:ind w:left="0"/>
              <w:jc w:val="center"/>
              <w:rPr>
                <w:rFonts w:asciiTheme="minorHAnsi" w:hAnsiTheme="minorHAnsi"/>
                <w:sz w:val="16"/>
                <w:szCs w:val="16"/>
              </w:rPr>
            </w:pPr>
            <w:r>
              <w:rPr>
                <w:rFonts w:asciiTheme="minorHAnsi" w:hAnsiTheme="minorHAnsi"/>
                <w:sz w:val="16"/>
                <w:szCs w:val="16"/>
              </w:rPr>
              <w:t>Rent Assistance</w:t>
            </w:r>
          </w:p>
        </w:tc>
        <w:tc>
          <w:tcPr>
            <w:tcW w:w="999" w:type="dxa"/>
            <w:shd w:val="clear" w:color="auto" w:fill="DBE5F1" w:themeFill="accent1" w:themeFillTint="33"/>
            <w:vAlign w:val="center"/>
          </w:tcPr>
          <w:p w:rsidR="00903764" w:rsidRPr="0096582A" w:rsidRDefault="00903764" w:rsidP="00F63459">
            <w:pPr>
              <w:ind w:left="81"/>
              <w:jc w:val="center"/>
              <w:rPr>
                <w:rFonts w:asciiTheme="minorHAnsi" w:hAnsiTheme="minorHAnsi"/>
                <w:sz w:val="32"/>
                <w:szCs w:val="32"/>
              </w:rPr>
            </w:pPr>
            <w:r w:rsidRPr="0096582A">
              <w:rPr>
                <w:rFonts w:asciiTheme="minorHAnsi" w:hAnsiTheme="minorHAnsi"/>
                <w:sz w:val="32"/>
                <w:szCs w:val="32"/>
              </w:rPr>
              <w:sym w:font="Wingdings 2" w:char="F050"/>
            </w:r>
          </w:p>
        </w:tc>
        <w:tc>
          <w:tcPr>
            <w:tcW w:w="126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99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90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1170" w:type="dxa"/>
            <w:shd w:val="clear" w:color="auto" w:fill="DBE5F1" w:themeFill="accent1" w:themeFillTint="33"/>
            <w:vAlign w:val="center"/>
          </w:tcPr>
          <w:p w:rsidR="00903764"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r w:rsidRPr="003679AD">
              <w:rPr>
                <w:rFonts w:asciiTheme="minorHAnsi" w:hAnsiTheme="minorHAnsi"/>
                <w:sz w:val="16"/>
                <w:szCs w:val="16"/>
              </w:rPr>
              <w:t>,</w:t>
            </w:r>
          </w:p>
          <w:p w:rsidR="00903764" w:rsidRPr="003679AD" w:rsidRDefault="00903764" w:rsidP="00F63459">
            <w:pPr>
              <w:ind w:left="81"/>
              <w:jc w:val="center"/>
              <w:rPr>
                <w:rFonts w:asciiTheme="minorHAnsi" w:hAnsiTheme="minorHAnsi"/>
                <w:sz w:val="16"/>
                <w:szCs w:val="16"/>
              </w:rPr>
            </w:pPr>
            <w:r w:rsidRPr="003679AD">
              <w:rPr>
                <w:rFonts w:asciiTheme="minorHAnsi" w:hAnsiTheme="minorHAnsi"/>
                <w:sz w:val="16"/>
                <w:szCs w:val="16"/>
              </w:rPr>
              <w:t>≥ 90 days</w:t>
            </w:r>
          </w:p>
        </w:tc>
        <w:tc>
          <w:tcPr>
            <w:tcW w:w="135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99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c>
          <w:tcPr>
            <w:tcW w:w="990" w:type="dxa"/>
            <w:shd w:val="clear" w:color="auto" w:fill="D9D9D9" w:themeFill="background1" w:themeFillShade="D9"/>
            <w:vAlign w:val="center"/>
          </w:tcPr>
          <w:p w:rsidR="00903764" w:rsidRPr="003679AD" w:rsidRDefault="00903764" w:rsidP="00F63459">
            <w:pPr>
              <w:ind w:left="81"/>
              <w:jc w:val="center"/>
              <w:rPr>
                <w:rFonts w:asciiTheme="minorHAnsi" w:hAnsiTheme="minorHAnsi"/>
                <w:sz w:val="16"/>
                <w:szCs w:val="16"/>
              </w:rPr>
            </w:pPr>
          </w:p>
        </w:tc>
        <w:tc>
          <w:tcPr>
            <w:tcW w:w="1080" w:type="dxa"/>
            <w:shd w:val="clear" w:color="auto" w:fill="DBE5F1" w:themeFill="accent1" w:themeFillTint="33"/>
            <w:vAlign w:val="center"/>
          </w:tcPr>
          <w:p w:rsidR="00903764" w:rsidRPr="003679AD" w:rsidRDefault="00903764" w:rsidP="00F63459">
            <w:pPr>
              <w:ind w:left="81"/>
              <w:jc w:val="center"/>
              <w:rPr>
                <w:rFonts w:asciiTheme="minorHAnsi" w:hAnsiTheme="minorHAnsi"/>
                <w:sz w:val="16"/>
                <w:szCs w:val="16"/>
              </w:rPr>
            </w:pPr>
            <w:r w:rsidRPr="0096582A">
              <w:rPr>
                <w:rFonts w:asciiTheme="minorHAnsi" w:hAnsiTheme="minorHAnsi"/>
                <w:sz w:val="32"/>
                <w:szCs w:val="32"/>
              </w:rPr>
              <w:sym w:font="Wingdings 2" w:char="F050"/>
            </w:r>
          </w:p>
        </w:tc>
      </w:tr>
    </w:tbl>
    <w:p w:rsidR="00903764" w:rsidRDefault="00903764"/>
    <w:p w:rsidR="0030603C" w:rsidRDefault="0030603C"/>
    <w:p w:rsidR="0030603C" w:rsidRDefault="00311843">
      <w:pPr>
        <w:sectPr w:rsidR="0030603C" w:rsidSect="009F6C04">
          <w:headerReference w:type="even" r:id="rId24"/>
          <w:headerReference w:type="default" r:id="rId25"/>
          <w:footerReference w:type="default" r:id="rId26"/>
          <w:headerReference w:type="first" r:id="rId27"/>
          <w:footerReference w:type="first" r:id="rId28"/>
          <w:pgSz w:w="12240" w:h="15840" w:code="1"/>
          <w:pgMar w:top="1152" w:right="1440" w:bottom="1152" w:left="1440" w:header="720" w:footer="720" w:gutter="0"/>
          <w:pgNumType w:start="1"/>
          <w:cols w:space="720"/>
          <w:titlePg/>
          <w:docGrid w:linePitch="360"/>
        </w:sectPr>
      </w:pPr>
      <w:r w:rsidRPr="00F63459">
        <w:t>Appendix A</w:t>
      </w:r>
      <w:r w:rsidR="0030603C" w:rsidRPr="00F63459">
        <w:t xml:space="preserve"> summarizes the documentation required in each client file</w:t>
      </w:r>
      <w:r w:rsidR="0001788D" w:rsidRPr="00F63459">
        <w:t>, depending on the type of service provided</w:t>
      </w:r>
      <w:r w:rsidR="0030603C" w:rsidRPr="00F63459">
        <w:t xml:space="preserve">. </w:t>
      </w:r>
    </w:p>
    <w:p w:rsidR="00803675" w:rsidRPr="00080732" w:rsidRDefault="00903764" w:rsidP="00E618D2">
      <w:pPr>
        <w:pBdr>
          <w:top w:val="single" w:sz="4" w:space="1" w:color="auto"/>
          <w:left w:val="single" w:sz="4" w:space="18" w:color="auto"/>
          <w:bottom w:val="single" w:sz="4" w:space="1" w:color="auto"/>
          <w:right w:val="single" w:sz="4" w:space="4" w:color="auto"/>
        </w:pBdr>
        <w:shd w:val="clear" w:color="auto" w:fill="D9D9D9" w:themeFill="background1" w:themeFillShade="D9"/>
        <w:jc w:val="center"/>
        <w:rPr>
          <w:b/>
          <w:bCs/>
          <w:sz w:val="28"/>
          <w:szCs w:val="28"/>
        </w:rPr>
      </w:pPr>
      <w:r w:rsidRPr="00080732">
        <w:rPr>
          <w:b/>
          <w:bCs/>
          <w:sz w:val="28"/>
          <w:szCs w:val="28"/>
        </w:rPr>
        <w:lastRenderedPageBreak/>
        <w:t>Appendix B</w:t>
      </w:r>
    </w:p>
    <w:p w:rsidR="00803675" w:rsidRPr="00080732" w:rsidRDefault="00803675" w:rsidP="00E618D2">
      <w:pPr>
        <w:pBdr>
          <w:top w:val="single" w:sz="4" w:space="1" w:color="auto"/>
          <w:left w:val="single" w:sz="4" w:space="18" w:color="auto"/>
          <w:bottom w:val="single" w:sz="4" w:space="1" w:color="auto"/>
          <w:right w:val="single" w:sz="4" w:space="4" w:color="auto"/>
        </w:pBdr>
        <w:shd w:val="clear" w:color="auto" w:fill="D9D9D9" w:themeFill="background1" w:themeFillShade="D9"/>
        <w:jc w:val="center"/>
        <w:rPr>
          <w:b/>
          <w:bCs/>
          <w:sz w:val="6"/>
          <w:szCs w:val="6"/>
        </w:rPr>
      </w:pPr>
    </w:p>
    <w:p w:rsidR="00803675" w:rsidRPr="00BB555E" w:rsidRDefault="00E618D2" w:rsidP="00E618D2">
      <w:pPr>
        <w:pBdr>
          <w:top w:val="single" w:sz="4" w:space="1" w:color="auto"/>
          <w:left w:val="single" w:sz="4" w:space="18" w:color="auto"/>
          <w:bottom w:val="single" w:sz="4" w:space="1" w:color="auto"/>
          <w:right w:val="single" w:sz="4" w:space="4" w:color="auto"/>
        </w:pBdr>
        <w:shd w:val="clear" w:color="auto" w:fill="D9D9D9" w:themeFill="background1" w:themeFillShade="D9"/>
        <w:tabs>
          <w:tab w:val="center" w:pos="6768"/>
          <w:tab w:val="right" w:pos="13536"/>
        </w:tabs>
        <w:rPr>
          <w:b/>
          <w:bCs/>
          <w:sz w:val="28"/>
          <w:szCs w:val="28"/>
        </w:rPr>
      </w:pPr>
      <w:r w:rsidRPr="00080732">
        <w:rPr>
          <w:b/>
          <w:bCs/>
          <w:sz w:val="28"/>
          <w:szCs w:val="28"/>
        </w:rPr>
        <w:tab/>
      </w:r>
      <w:r w:rsidR="00803675" w:rsidRPr="00080732">
        <w:rPr>
          <w:b/>
          <w:bCs/>
          <w:sz w:val="28"/>
          <w:szCs w:val="28"/>
        </w:rPr>
        <w:t>Housing Status Documentation</w:t>
      </w:r>
      <w:r>
        <w:rPr>
          <w:b/>
          <w:bCs/>
          <w:sz w:val="28"/>
          <w:szCs w:val="28"/>
        </w:rPr>
        <w:tab/>
      </w:r>
    </w:p>
    <w:p w:rsidR="00576EB8" w:rsidRDefault="00576EB8" w:rsidP="003A49E4">
      <w:pPr>
        <w:rPr>
          <w:sz w:val="18"/>
          <w:szCs w:val="18"/>
        </w:rPr>
      </w:pPr>
    </w:p>
    <w:p w:rsidR="006030A1" w:rsidRPr="00164706" w:rsidRDefault="006030A1" w:rsidP="003A49E4">
      <w:pPr>
        <w:rPr>
          <w:sz w:val="18"/>
          <w:szCs w:val="18"/>
        </w:rPr>
      </w:pPr>
    </w:p>
    <w:p w:rsidR="00576EB8" w:rsidRDefault="00576EB8" w:rsidP="00576EB8">
      <w:pPr>
        <w:jc w:val="center"/>
        <w:rPr>
          <w:sz w:val="16"/>
          <w:szCs w:val="16"/>
        </w:rPr>
      </w:pPr>
    </w:p>
    <w:tbl>
      <w:tblPr>
        <w:tblStyle w:val="TableGrid1"/>
        <w:tblW w:w="14220" w:type="dxa"/>
        <w:tblInd w:w="-252" w:type="dxa"/>
        <w:tblLook w:val="04A0"/>
      </w:tblPr>
      <w:tblGrid>
        <w:gridCol w:w="1440"/>
        <w:gridCol w:w="2160"/>
        <w:gridCol w:w="1710"/>
        <w:gridCol w:w="1980"/>
        <w:gridCol w:w="2340"/>
        <w:gridCol w:w="2160"/>
        <w:gridCol w:w="2430"/>
      </w:tblGrid>
      <w:tr w:rsidR="00576EB8" w:rsidRPr="00576EB8" w:rsidTr="003A49E4">
        <w:trPr>
          <w:trHeight w:val="307"/>
        </w:trPr>
        <w:tc>
          <w:tcPr>
            <w:tcW w:w="7290" w:type="dxa"/>
            <w:gridSpan w:val="4"/>
            <w:shd w:val="clear" w:color="auto" w:fill="C2D69B" w:themeFill="accent3" w:themeFillTint="99"/>
          </w:tcPr>
          <w:p w:rsidR="00576EB8" w:rsidRPr="00576EB8" w:rsidRDefault="00576EB8" w:rsidP="00803675">
            <w:pPr>
              <w:jc w:val="center"/>
              <w:rPr>
                <w:rFonts w:ascii="Calibri" w:hAnsi="Calibri"/>
                <w:b/>
                <w:sz w:val="20"/>
                <w:szCs w:val="20"/>
              </w:rPr>
            </w:pPr>
            <w:r w:rsidRPr="00576EB8">
              <w:rPr>
                <w:rFonts w:ascii="Calibri" w:hAnsi="Calibri"/>
                <w:b/>
                <w:sz w:val="20"/>
                <w:szCs w:val="20"/>
              </w:rPr>
              <w:t>Homeless</w:t>
            </w:r>
          </w:p>
        </w:tc>
        <w:tc>
          <w:tcPr>
            <w:tcW w:w="6930" w:type="dxa"/>
            <w:gridSpan w:val="3"/>
            <w:shd w:val="clear" w:color="auto" w:fill="C2D69B" w:themeFill="accent3" w:themeFillTint="99"/>
          </w:tcPr>
          <w:p w:rsidR="00576EB8" w:rsidRPr="00576EB8" w:rsidRDefault="00576EB8" w:rsidP="00803675">
            <w:pPr>
              <w:jc w:val="center"/>
              <w:rPr>
                <w:rFonts w:ascii="Calibri" w:hAnsi="Calibri"/>
                <w:b/>
                <w:sz w:val="20"/>
                <w:szCs w:val="20"/>
              </w:rPr>
            </w:pPr>
            <w:r w:rsidRPr="00576EB8">
              <w:rPr>
                <w:rFonts w:ascii="Calibri" w:hAnsi="Calibri"/>
                <w:b/>
                <w:sz w:val="20"/>
                <w:szCs w:val="20"/>
              </w:rPr>
              <w:t>At Risk of Becoming Homeless</w:t>
            </w:r>
          </w:p>
        </w:tc>
      </w:tr>
      <w:tr w:rsidR="00576EB8" w:rsidRPr="00576EB8" w:rsidTr="003A49E4">
        <w:trPr>
          <w:trHeight w:val="288"/>
        </w:trPr>
        <w:tc>
          <w:tcPr>
            <w:tcW w:w="1440" w:type="dxa"/>
            <w:shd w:val="clear" w:color="auto" w:fill="D6E3BC" w:themeFill="accent3" w:themeFillTint="66"/>
          </w:tcPr>
          <w:p w:rsidR="00576EB8" w:rsidRPr="00576EB8" w:rsidRDefault="00576EB8" w:rsidP="00803675">
            <w:pPr>
              <w:rPr>
                <w:rFonts w:ascii="Calibri" w:hAnsi="Calibri"/>
                <w:b/>
                <w:sz w:val="16"/>
                <w:szCs w:val="16"/>
              </w:rPr>
            </w:pPr>
            <w:r w:rsidRPr="00576EB8">
              <w:rPr>
                <w:rFonts w:ascii="Calibri" w:hAnsi="Calibri"/>
                <w:b/>
                <w:sz w:val="16"/>
                <w:szCs w:val="16"/>
              </w:rPr>
              <w:t xml:space="preserve">Unsheltered </w:t>
            </w:r>
            <w:r w:rsidRPr="00576EB8">
              <w:rPr>
                <w:rFonts w:ascii="Calibri" w:hAnsi="Calibri"/>
                <w:sz w:val="16"/>
                <w:szCs w:val="16"/>
              </w:rPr>
              <w:t>(place not meant for human habitation)</w:t>
            </w:r>
          </w:p>
        </w:tc>
        <w:tc>
          <w:tcPr>
            <w:tcW w:w="2160" w:type="dxa"/>
            <w:shd w:val="clear" w:color="auto" w:fill="D6E3BC" w:themeFill="accent3" w:themeFillTint="66"/>
          </w:tcPr>
          <w:p w:rsidR="00576EB8" w:rsidRPr="00576EB8" w:rsidRDefault="00576EB8" w:rsidP="00803675">
            <w:pPr>
              <w:rPr>
                <w:rFonts w:ascii="Calibri" w:hAnsi="Calibri"/>
                <w:sz w:val="16"/>
                <w:szCs w:val="16"/>
              </w:rPr>
            </w:pPr>
            <w:r w:rsidRPr="00576EB8">
              <w:rPr>
                <w:rFonts w:ascii="Calibri" w:hAnsi="Calibri"/>
                <w:b/>
                <w:sz w:val="16"/>
                <w:szCs w:val="16"/>
              </w:rPr>
              <w:t>Residing in a temporary housing program</w:t>
            </w:r>
            <w:r w:rsidRPr="00576EB8">
              <w:rPr>
                <w:rFonts w:ascii="Calibri" w:hAnsi="Calibri"/>
                <w:sz w:val="16"/>
                <w:szCs w:val="16"/>
              </w:rPr>
              <w:t xml:space="preserve"> </w:t>
            </w:r>
          </w:p>
        </w:tc>
        <w:tc>
          <w:tcPr>
            <w:tcW w:w="1710" w:type="dxa"/>
            <w:shd w:val="clear" w:color="auto" w:fill="D6E3BC" w:themeFill="accent3" w:themeFillTint="66"/>
          </w:tcPr>
          <w:p w:rsidR="00576EB8" w:rsidRPr="00576EB8" w:rsidRDefault="00576EB8" w:rsidP="00803675">
            <w:pPr>
              <w:rPr>
                <w:rFonts w:ascii="Calibri" w:hAnsi="Calibri"/>
                <w:b/>
                <w:sz w:val="16"/>
                <w:szCs w:val="16"/>
              </w:rPr>
            </w:pPr>
            <w:r w:rsidRPr="00576EB8">
              <w:rPr>
                <w:rFonts w:ascii="Calibri" w:hAnsi="Calibri"/>
                <w:b/>
                <w:sz w:val="16"/>
                <w:szCs w:val="16"/>
              </w:rPr>
              <w:t>Exiting a system of care</w:t>
            </w:r>
          </w:p>
        </w:tc>
        <w:tc>
          <w:tcPr>
            <w:tcW w:w="1980" w:type="dxa"/>
            <w:shd w:val="clear" w:color="auto" w:fill="D6E3BC" w:themeFill="accent3" w:themeFillTint="66"/>
          </w:tcPr>
          <w:p w:rsidR="00576EB8" w:rsidRPr="00576EB8" w:rsidRDefault="00576EB8" w:rsidP="00803675">
            <w:pPr>
              <w:rPr>
                <w:rFonts w:ascii="Calibri" w:hAnsi="Calibri"/>
                <w:sz w:val="16"/>
                <w:szCs w:val="16"/>
              </w:rPr>
            </w:pPr>
            <w:r w:rsidRPr="00576EB8">
              <w:rPr>
                <w:rFonts w:ascii="Calibri" w:hAnsi="Calibri"/>
                <w:b/>
                <w:sz w:val="16"/>
                <w:szCs w:val="16"/>
              </w:rPr>
              <w:t>Fleeing domestic violence</w:t>
            </w:r>
            <w:r w:rsidRPr="00576EB8">
              <w:rPr>
                <w:rFonts w:ascii="Calibri" w:hAnsi="Calibri"/>
                <w:sz w:val="16"/>
                <w:szCs w:val="16"/>
              </w:rPr>
              <w:t>, dating violence, sexual assault, stalking, etc.</w:t>
            </w:r>
          </w:p>
        </w:tc>
        <w:tc>
          <w:tcPr>
            <w:tcW w:w="2340" w:type="dxa"/>
            <w:shd w:val="clear" w:color="auto" w:fill="D6E3BC" w:themeFill="accent3" w:themeFillTint="66"/>
          </w:tcPr>
          <w:p w:rsidR="00576EB8" w:rsidRPr="00576EB8" w:rsidRDefault="00576EB8" w:rsidP="00803675">
            <w:pPr>
              <w:rPr>
                <w:rFonts w:ascii="Calibri" w:hAnsi="Calibri"/>
                <w:b/>
                <w:sz w:val="16"/>
                <w:szCs w:val="16"/>
              </w:rPr>
            </w:pPr>
            <w:r w:rsidRPr="00576EB8">
              <w:rPr>
                <w:rFonts w:ascii="Calibri" w:hAnsi="Calibri"/>
                <w:b/>
                <w:sz w:val="16"/>
                <w:szCs w:val="16"/>
              </w:rPr>
              <w:t>Losing housing within 14 days</w:t>
            </w:r>
          </w:p>
        </w:tc>
        <w:tc>
          <w:tcPr>
            <w:tcW w:w="2160" w:type="dxa"/>
            <w:shd w:val="clear" w:color="auto" w:fill="D6E3BC" w:themeFill="accent3" w:themeFillTint="66"/>
          </w:tcPr>
          <w:p w:rsidR="00576EB8" w:rsidRPr="00576EB8" w:rsidRDefault="00576EB8" w:rsidP="00803675">
            <w:pPr>
              <w:rPr>
                <w:rFonts w:ascii="Calibri" w:hAnsi="Calibri"/>
                <w:b/>
                <w:sz w:val="16"/>
                <w:szCs w:val="16"/>
              </w:rPr>
            </w:pPr>
            <w:r w:rsidRPr="00576EB8">
              <w:rPr>
                <w:rFonts w:ascii="Calibri" w:hAnsi="Calibri"/>
                <w:b/>
                <w:sz w:val="16"/>
                <w:szCs w:val="16"/>
              </w:rPr>
              <w:t>Nonpayment of rent</w:t>
            </w:r>
          </w:p>
        </w:tc>
        <w:tc>
          <w:tcPr>
            <w:tcW w:w="2430" w:type="dxa"/>
            <w:shd w:val="clear" w:color="auto" w:fill="D6E3BC" w:themeFill="accent3" w:themeFillTint="66"/>
          </w:tcPr>
          <w:p w:rsidR="00576EB8" w:rsidRPr="00576EB8" w:rsidRDefault="00576EB8" w:rsidP="00803675">
            <w:pPr>
              <w:rPr>
                <w:rFonts w:ascii="Calibri" w:hAnsi="Calibri"/>
                <w:b/>
                <w:sz w:val="16"/>
                <w:szCs w:val="16"/>
              </w:rPr>
            </w:pPr>
            <w:r w:rsidRPr="00576EB8">
              <w:rPr>
                <w:rFonts w:ascii="Calibri" w:hAnsi="Calibri"/>
                <w:b/>
                <w:sz w:val="16"/>
                <w:szCs w:val="16"/>
              </w:rPr>
              <w:t>Nonpayment of utilities</w:t>
            </w:r>
          </w:p>
          <w:p w:rsidR="00576EB8" w:rsidRPr="00576EB8" w:rsidRDefault="00576EB8" w:rsidP="00803675">
            <w:pPr>
              <w:rPr>
                <w:rFonts w:ascii="Calibri" w:hAnsi="Calibri"/>
                <w:sz w:val="16"/>
                <w:szCs w:val="16"/>
              </w:rPr>
            </w:pPr>
            <w:r w:rsidRPr="00576EB8">
              <w:rPr>
                <w:rFonts w:ascii="Calibri" w:hAnsi="Calibri"/>
                <w:sz w:val="16"/>
                <w:szCs w:val="16"/>
              </w:rPr>
              <w:t>(see program guidelines for eligibility)</w:t>
            </w:r>
          </w:p>
        </w:tc>
      </w:tr>
      <w:tr w:rsidR="00576EB8" w:rsidRPr="00576EB8" w:rsidTr="003A49E4">
        <w:trPr>
          <w:trHeight w:val="5930"/>
        </w:trPr>
        <w:tc>
          <w:tcPr>
            <w:tcW w:w="1440" w:type="dxa"/>
          </w:tcPr>
          <w:p w:rsidR="00576EB8" w:rsidRPr="00576EB8" w:rsidRDefault="00576EB8" w:rsidP="00803675">
            <w:pPr>
              <w:rPr>
                <w:rFonts w:ascii="Calibri" w:hAnsi="Calibri"/>
                <w:sz w:val="16"/>
                <w:szCs w:val="16"/>
              </w:rPr>
            </w:pPr>
            <w:r w:rsidRPr="00576EB8">
              <w:rPr>
                <w:rFonts w:ascii="Calibri" w:hAnsi="Calibri"/>
                <w:sz w:val="16"/>
                <w:szCs w:val="16"/>
              </w:rPr>
              <w:t>Third party verification</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b/>
                <w:sz w:val="16"/>
                <w:szCs w:val="16"/>
              </w:rPr>
            </w:pPr>
            <w:r w:rsidRPr="00576EB8">
              <w:rPr>
                <w:rFonts w:ascii="Calibri" w:hAnsi="Calibri"/>
                <w:b/>
                <w:sz w:val="16"/>
                <w:szCs w:val="16"/>
              </w:rPr>
              <w:t>OR</w:t>
            </w:r>
          </w:p>
          <w:p w:rsidR="00576EB8" w:rsidRPr="00576EB8" w:rsidRDefault="00576EB8" w:rsidP="00803675">
            <w:pPr>
              <w:rPr>
                <w:rFonts w:ascii="Calibri" w:hAnsi="Calibri"/>
                <w:b/>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 xml:space="preserve">Self-declaration signed and dated by applicant stating where they are residing.  </w:t>
            </w:r>
            <w:r w:rsidRPr="00576EB8">
              <w:rPr>
                <w:rFonts w:ascii="Calibri" w:hAnsi="Calibri"/>
                <w:sz w:val="16"/>
                <w:szCs w:val="16"/>
                <w:u w:val="single"/>
              </w:rPr>
              <w:t>Self-declaration of housing status should be used very rarely and only when written third-party verification cannot be obtained.</w:t>
            </w:r>
          </w:p>
        </w:tc>
        <w:tc>
          <w:tcPr>
            <w:tcW w:w="2160" w:type="dxa"/>
          </w:tcPr>
          <w:p w:rsidR="00576EB8" w:rsidRPr="00576EB8" w:rsidRDefault="00576EB8" w:rsidP="00803675">
            <w:pPr>
              <w:rPr>
                <w:rFonts w:ascii="Calibri" w:hAnsi="Calibri"/>
                <w:sz w:val="16"/>
                <w:szCs w:val="16"/>
              </w:rPr>
            </w:pPr>
            <w:r w:rsidRPr="00576EB8">
              <w:rPr>
                <w:rFonts w:ascii="Calibri" w:hAnsi="Calibri"/>
                <w:sz w:val="16"/>
                <w:szCs w:val="16"/>
              </w:rPr>
              <w:t>Letter signed and dated from the provider of the temporary housing.</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b/>
                <w:sz w:val="16"/>
                <w:szCs w:val="16"/>
              </w:rPr>
            </w:pPr>
            <w:r w:rsidRPr="00576EB8">
              <w:rPr>
                <w:rFonts w:ascii="Calibri" w:hAnsi="Calibri"/>
                <w:b/>
                <w:sz w:val="16"/>
                <w:szCs w:val="16"/>
              </w:rPr>
              <w:t>OR</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A telephone call to the provider of temporary housing that is documented, signed, and dated by the case manager making the call</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b/>
                <w:sz w:val="16"/>
                <w:szCs w:val="16"/>
              </w:rPr>
            </w:pPr>
            <w:r w:rsidRPr="00576EB8">
              <w:rPr>
                <w:rFonts w:ascii="Calibri" w:hAnsi="Calibri"/>
                <w:b/>
                <w:sz w:val="16"/>
                <w:szCs w:val="16"/>
              </w:rPr>
              <w:t>OR</w:t>
            </w:r>
          </w:p>
          <w:p w:rsidR="00576EB8" w:rsidRPr="00576EB8" w:rsidRDefault="00576EB8" w:rsidP="00803675">
            <w:pPr>
              <w:rPr>
                <w:rFonts w:ascii="Calibri" w:hAnsi="Calibri"/>
                <w:b/>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Current HMIS record from homeless housing program, including dates of stay</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b/>
                <w:sz w:val="16"/>
                <w:szCs w:val="16"/>
              </w:rPr>
            </w:pPr>
            <w:r w:rsidRPr="00576EB8">
              <w:rPr>
                <w:rFonts w:ascii="Calibri" w:hAnsi="Calibri"/>
                <w:b/>
                <w:sz w:val="16"/>
                <w:szCs w:val="16"/>
              </w:rPr>
              <w:t>OR</w:t>
            </w:r>
          </w:p>
          <w:p w:rsidR="00576EB8" w:rsidRPr="00576EB8" w:rsidRDefault="00576EB8" w:rsidP="00803675">
            <w:pPr>
              <w:rPr>
                <w:rFonts w:ascii="Calibri" w:hAnsi="Calibri"/>
                <w:b/>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 xml:space="preserve">Self-declaration signed and dated by applicant stating where they are residing.  </w:t>
            </w:r>
            <w:r w:rsidRPr="00576EB8">
              <w:rPr>
                <w:rFonts w:ascii="Calibri" w:hAnsi="Calibri"/>
                <w:sz w:val="16"/>
                <w:szCs w:val="16"/>
                <w:u w:val="single"/>
              </w:rPr>
              <w:t>Self-declaration of housing status should be used very rarely and only when written third-party verification cannot be obtained.</w:t>
            </w:r>
          </w:p>
        </w:tc>
        <w:tc>
          <w:tcPr>
            <w:tcW w:w="1710" w:type="dxa"/>
          </w:tcPr>
          <w:p w:rsidR="00576EB8" w:rsidRPr="00576EB8" w:rsidRDefault="00576EB8" w:rsidP="00803675">
            <w:pPr>
              <w:rPr>
                <w:rFonts w:ascii="Calibri" w:hAnsi="Calibri"/>
                <w:sz w:val="16"/>
                <w:szCs w:val="16"/>
              </w:rPr>
            </w:pPr>
            <w:r w:rsidRPr="00576EB8">
              <w:rPr>
                <w:rFonts w:ascii="Calibri" w:hAnsi="Calibri"/>
                <w:sz w:val="16"/>
                <w:szCs w:val="16"/>
              </w:rPr>
              <w:t>Letter signed and dated by hospital/institution representative.  Letter must include:</w:t>
            </w:r>
          </w:p>
          <w:p w:rsidR="00576EB8" w:rsidRPr="00576EB8" w:rsidRDefault="00576EB8" w:rsidP="00803675">
            <w:pPr>
              <w:rPr>
                <w:rFonts w:ascii="Calibri" w:hAnsi="Calibri"/>
                <w:sz w:val="16"/>
                <w:szCs w:val="16"/>
              </w:rPr>
            </w:pPr>
          </w:p>
          <w:p w:rsidR="00576EB8" w:rsidRPr="00576EB8" w:rsidRDefault="00576EB8" w:rsidP="00803675">
            <w:pPr>
              <w:numPr>
                <w:ilvl w:val="0"/>
                <w:numId w:val="46"/>
              </w:numPr>
              <w:spacing w:after="200" w:line="276" w:lineRule="auto"/>
              <w:contextualSpacing/>
              <w:rPr>
                <w:rFonts w:ascii="Calibri" w:hAnsi="Calibri"/>
                <w:sz w:val="16"/>
                <w:szCs w:val="16"/>
              </w:rPr>
            </w:pPr>
            <w:r w:rsidRPr="00576EB8">
              <w:rPr>
                <w:rFonts w:ascii="Calibri" w:hAnsi="Calibri"/>
                <w:sz w:val="16"/>
                <w:szCs w:val="16"/>
              </w:rPr>
              <w:t xml:space="preserve">Statement verifying current stay of individual, </w:t>
            </w:r>
            <w:r w:rsidRPr="00576EB8">
              <w:rPr>
                <w:rFonts w:ascii="Calibri" w:hAnsi="Calibri"/>
                <w:b/>
                <w:sz w:val="16"/>
                <w:szCs w:val="16"/>
              </w:rPr>
              <w:t>and</w:t>
            </w:r>
          </w:p>
          <w:p w:rsidR="00576EB8" w:rsidRPr="00576EB8" w:rsidRDefault="00576EB8" w:rsidP="00803675">
            <w:pPr>
              <w:numPr>
                <w:ilvl w:val="0"/>
                <w:numId w:val="46"/>
              </w:numPr>
              <w:spacing w:after="200" w:line="276" w:lineRule="auto"/>
              <w:contextualSpacing/>
              <w:rPr>
                <w:rFonts w:ascii="Calibri" w:hAnsi="Calibri"/>
                <w:sz w:val="16"/>
                <w:szCs w:val="16"/>
              </w:rPr>
            </w:pPr>
            <w:r w:rsidRPr="00576EB8">
              <w:rPr>
                <w:rFonts w:ascii="Calibri" w:hAnsi="Calibri"/>
                <w:sz w:val="16"/>
                <w:szCs w:val="16"/>
              </w:rPr>
              <w:t>Indicate individual has no housing to which they can return upon discharge</w:t>
            </w:r>
          </w:p>
        </w:tc>
        <w:tc>
          <w:tcPr>
            <w:tcW w:w="1980" w:type="dxa"/>
          </w:tcPr>
          <w:p w:rsidR="00576EB8" w:rsidRPr="00576EB8" w:rsidRDefault="00576EB8" w:rsidP="00803675">
            <w:pPr>
              <w:rPr>
                <w:rFonts w:ascii="Calibri" w:hAnsi="Calibri"/>
                <w:sz w:val="16"/>
                <w:szCs w:val="16"/>
              </w:rPr>
            </w:pPr>
            <w:r w:rsidRPr="00576EB8">
              <w:rPr>
                <w:rFonts w:ascii="Calibri" w:hAnsi="Calibri"/>
                <w:sz w:val="16"/>
                <w:szCs w:val="16"/>
              </w:rPr>
              <w:t>Signed and dated self-declaration by applicant</w:t>
            </w:r>
          </w:p>
        </w:tc>
        <w:tc>
          <w:tcPr>
            <w:tcW w:w="2340" w:type="dxa"/>
          </w:tcPr>
          <w:p w:rsidR="00576EB8" w:rsidRPr="00576EB8" w:rsidRDefault="00576EB8" w:rsidP="00803675">
            <w:pPr>
              <w:rPr>
                <w:rFonts w:ascii="Calibri" w:hAnsi="Calibri"/>
                <w:sz w:val="16"/>
                <w:szCs w:val="16"/>
              </w:rPr>
            </w:pPr>
            <w:r w:rsidRPr="00576EB8">
              <w:rPr>
                <w:rFonts w:ascii="Calibri" w:hAnsi="Calibri"/>
                <w:sz w:val="16"/>
                <w:szCs w:val="16"/>
              </w:rPr>
              <w:t>Letter signed and dated from the provider of the temporary residence (e.g. homeowner, landlord, motel owner/manager). Letter must include:</w:t>
            </w:r>
          </w:p>
          <w:p w:rsidR="00576EB8" w:rsidRPr="00576EB8" w:rsidRDefault="00576EB8" w:rsidP="00803675">
            <w:pPr>
              <w:rPr>
                <w:rFonts w:ascii="Calibri" w:hAnsi="Calibri"/>
                <w:sz w:val="16"/>
                <w:szCs w:val="16"/>
              </w:rPr>
            </w:pPr>
          </w:p>
          <w:p w:rsidR="00576EB8" w:rsidRPr="00576EB8" w:rsidRDefault="00576EB8" w:rsidP="00803675">
            <w:pPr>
              <w:numPr>
                <w:ilvl w:val="0"/>
                <w:numId w:val="48"/>
              </w:numPr>
              <w:spacing w:after="200" w:line="276" w:lineRule="auto"/>
              <w:contextualSpacing/>
              <w:rPr>
                <w:rFonts w:ascii="Calibri" w:hAnsi="Calibri"/>
                <w:sz w:val="16"/>
                <w:szCs w:val="16"/>
              </w:rPr>
            </w:pPr>
            <w:r w:rsidRPr="00576EB8">
              <w:rPr>
                <w:rFonts w:ascii="Calibri" w:hAnsi="Calibri"/>
                <w:sz w:val="16"/>
                <w:szCs w:val="16"/>
              </w:rPr>
              <w:t xml:space="preserve">Statement verifying the applicant’s current living situation, </w:t>
            </w:r>
            <w:r w:rsidRPr="00576EB8">
              <w:rPr>
                <w:rFonts w:ascii="Calibri" w:hAnsi="Calibri"/>
                <w:b/>
                <w:sz w:val="16"/>
                <w:szCs w:val="16"/>
              </w:rPr>
              <w:t>and</w:t>
            </w:r>
          </w:p>
          <w:p w:rsidR="00576EB8" w:rsidRPr="00576EB8" w:rsidRDefault="00576EB8" w:rsidP="00803675">
            <w:pPr>
              <w:numPr>
                <w:ilvl w:val="0"/>
                <w:numId w:val="48"/>
              </w:numPr>
              <w:spacing w:after="200" w:line="276" w:lineRule="auto"/>
              <w:contextualSpacing/>
              <w:rPr>
                <w:rFonts w:ascii="Calibri" w:hAnsi="Calibri"/>
                <w:sz w:val="16"/>
                <w:szCs w:val="16"/>
              </w:rPr>
            </w:pPr>
            <w:r w:rsidRPr="00576EB8">
              <w:rPr>
                <w:rFonts w:ascii="Calibri" w:hAnsi="Calibri"/>
                <w:sz w:val="16"/>
                <w:szCs w:val="16"/>
              </w:rPr>
              <w:t>Date when the household must vacate the temporary housing</w:t>
            </w:r>
          </w:p>
          <w:p w:rsidR="00576EB8" w:rsidRPr="00576EB8" w:rsidRDefault="00576EB8" w:rsidP="00803675">
            <w:pPr>
              <w:rPr>
                <w:rFonts w:ascii="Calibri" w:hAnsi="Calibri"/>
                <w:b/>
                <w:sz w:val="16"/>
                <w:szCs w:val="16"/>
              </w:rPr>
            </w:pPr>
            <w:r w:rsidRPr="00576EB8">
              <w:rPr>
                <w:rFonts w:ascii="Calibri" w:hAnsi="Calibri"/>
                <w:b/>
                <w:sz w:val="16"/>
                <w:szCs w:val="16"/>
              </w:rPr>
              <w:t>OR</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A telephone call to the provider of temporary housing that is documented, signed, and dated by the case manager making the call</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b/>
                <w:sz w:val="16"/>
                <w:szCs w:val="16"/>
              </w:rPr>
            </w:pPr>
            <w:r w:rsidRPr="00576EB8">
              <w:rPr>
                <w:rFonts w:ascii="Calibri" w:hAnsi="Calibri"/>
                <w:b/>
                <w:sz w:val="16"/>
                <w:szCs w:val="16"/>
              </w:rPr>
              <w:t>OR</w:t>
            </w:r>
          </w:p>
          <w:p w:rsidR="00576EB8" w:rsidRPr="00576EB8" w:rsidRDefault="00576EB8" w:rsidP="00803675">
            <w:pPr>
              <w:rPr>
                <w:rFonts w:ascii="Calibri" w:hAnsi="Calibri"/>
                <w:b/>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 xml:space="preserve">Self-declaration signed and dated by applicant stating where they are residing.  </w:t>
            </w:r>
            <w:r w:rsidRPr="00576EB8">
              <w:rPr>
                <w:rFonts w:ascii="Calibri" w:hAnsi="Calibri"/>
                <w:sz w:val="16"/>
                <w:szCs w:val="16"/>
                <w:u w:val="single"/>
              </w:rPr>
              <w:t>Self-declaration of housing status should be used very rarely and only when written third-party verification cannot be obtained.</w:t>
            </w:r>
          </w:p>
        </w:tc>
        <w:tc>
          <w:tcPr>
            <w:tcW w:w="2160" w:type="dxa"/>
          </w:tcPr>
          <w:p w:rsidR="00576EB8" w:rsidRPr="00576EB8" w:rsidRDefault="00576EB8" w:rsidP="00803675">
            <w:pPr>
              <w:rPr>
                <w:rFonts w:ascii="Calibri" w:hAnsi="Calibri"/>
                <w:sz w:val="16"/>
                <w:szCs w:val="16"/>
              </w:rPr>
            </w:pPr>
            <w:r w:rsidRPr="00576EB8">
              <w:rPr>
                <w:rFonts w:ascii="Calibri" w:hAnsi="Calibri"/>
                <w:sz w:val="16"/>
                <w:szCs w:val="16"/>
              </w:rPr>
              <w:t>“Pay or Vacate” notice or eviction notice</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b/>
                <w:sz w:val="16"/>
                <w:szCs w:val="16"/>
              </w:rPr>
            </w:pPr>
            <w:r w:rsidRPr="00576EB8">
              <w:rPr>
                <w:rFonts w:ascii="Calibri" w:hAnsi="Calibri"/>
                <w:b/>
                <w:sz w:val="16"/>
                <w:szCs w:val="16"/>
              </w:rPr>
              <w:t>AND</w:t>
            </w:r>
          </w:p>
          <w:p w:rsidR="00576EB8" w:rsidRPr="00576EB8" w:rsidRDefault="00576EB8" w:rsidP="00803675">
            <w:pPr>
              <w:rPr>
                <w:rFonts w:ascii="Calibri" w:hAnsi="Calibri"/>
                <w:b/>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Copy of lease naming individual or household member as lease holder or other written occupancy agreement identifying them as legal tenant of unit.</w:t>
            </w:r>
          </w:p>
        </w:tc>
        <w:tc>
          <w:tcPr>
            <w:tcW w:w="2430" w:type="dxa"/>
          </w:tcPr>
          <w:p w:rsidR="00576EB8" w:rsidRPr="00576EB8" w:rsidRDefault="00576EB8" w:rsidP="00803675">
            <w:pPr>
              <w:rPr>
                <w:rFonts w:ascii="Calibri" w:hAnsi="Calibri"/>
                <w:sz w:val="16"/>
                <w:szCs w:val="16"/>
              </w:rPr>
            </w:pPr>
            <w:r w:rsidRPr="00576EB8">
              <w:rPr>
                <w:rFonts w:ascii="Calibri" w:hAnsi="Calibri"/>
                <w:sz w:val="16"/>
                <w:szCs w:val="16"/>
              </w:rPr>
              <w:t>Copy of lease naming individual or household member as lease holder or other written occupancy agreement identifying them as legal tenant of unit</w:t>
            </w:r>
          </w:p>
          <w:p w:rsidR="00576EB8" w:rsidRPr="00576EB8" w:rsidRDefault="00576EB8" w:rsidP="00803675">
            <w:pPr>
              <w:rPr>
                <w:rFonts w:ascii="Calibri" w:hAnsi="Calibri"/>
                <w:sz w:val="16"/>
                <w:szCs w:val="16"/>
              </w:rPr>
            </w:pPr>
          </w:p>
          <w:p w:rsidR="00576EB8" w:rsidRPr="00576EB8" w:rsidRDefault="00576EB8" w:rsidP="00803675">
            <w:pPr>
              <w:rPr>
                <w:rFonts w:ascii="Calibri" w:hAnsi="Calibri"/>
                <w:b/>
                <w:sz w:val="16"/>
                <w:szCs w:val="16"/>
              </w:rPr>
            </w:pPr>
            <w:r w:rsidRPr="00576EB8">
              <w:rPr>
                <w:rFonts w:ascii="Calibri" w:hAnsi="Calibri"/>
                <w:b/>
                <w:sz w:val="16"/>
                <w:szCs w:val="16"/>
              </w:rPr>
              <w:t>AND</w:t>
            </w:r>
          </w:p>
          <w:p w:rsidR="00576EB8" w:rsidRPr="00576EB8" w:rsidRDefault="00576EB8" w:rsidP="00803675">
            <w:pPr>
              <w:rPr>
                <w:rFonts w:ascii="Calibri" w:hAnsi="Calibri"/>
                <w:b/>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Utility Shutoff Notice that:</w:t>
            </w:r>
          </w:p>
          <w:p w:rsidR="00576EB8" w:rsidRPr="00576EB8" w:rsidRDefault="00576EB8" w:rsidP="00803675">
            <w:pPr>
              <w:rPr>
                <w:rFonts w:ascii="Calibri" w:hAnsi="Calibri"/>
                <w:sz w:val="16"/>
                <w:szCs w:val="16"/>
              </w:rPr>
            </w:pPr>
          </w:p>
          <w:p w:rsidR="00576EB8" w:rsidRPr="00576EB8" w:rsidRDefault="00576EB8" w:rsidP="00803675">
            <w:pPr>
              <w:numPr>
                <w:ilvl w:val="0"/>
                <w:numId w:val="47"/>
              </w:numPr>
              <w:spacing w:after="200" w:line="276" w:lineRule="auto"/>
              <w:contextualSpacing/>
              <w:rPr>
                <w:rFonts w:ascii="Calibri" w:hAnsi="Calibri"/>
                <w:sz w:val="16"/>
                <w:szCs w:val="16"/>
              </w:rPr>
            </w:pPr>
            <w:r w:rsidRPr="00576EB8">
              <w:rPr>
                <w:rFonts w:ascii="Calibri" w:hAnsi="Calibri"/>
                <w:sz w:val="16"/>
                <w:szCs w:val="16"/>
              </w:rPr>
              <w:t xml:space="preserve">Identifies the individual or household member, </w:t>
            </w:r>
            <w:r w:rsidRPr="00576EB8">
              <w:rPr>
                <w:rFonts w:ascii="Calibri" w:hAnsi="Calibri"/>
                <w:b/>
                <w:sz w:val="16"/>
                <w:szCs w:val="16"/>
              </w:rPr>
              <w:t>and</w:t>
            </w:r>
          </w:p>
          <w:p w:rsidR="00576EB8" w:rsidRPr="00576EB8" w:rsidRDefault="00576EB8" w:rsidP="00803675">
            <w:pPr>
              <w:numPr>
                <w:ilvl w:val="0"/>
                <w:numId w:val="47"/>
              </w:numPr>
              <w:spacing w:after="200" w:line="276" w:lineRule="auto"/>
              <w:contextualSpacing/>
              <w:rPr>
                <w:rFonts w:ascii="Calibri" w:hAnsi="Calibri"/>
                <w:sz w:val="16"/>
                <w:szCs w:val="16"/>
              </w:rPr>
            </w:pPr>
            <w:r w:rsidRPr="00576EB8">
              <w:rPr>
                <w:rFonts w:ascii="Calibri" w:hAnsi="Calibri"/>
                <w:sz w:val="16"/>
                <w:szCs w:val="16"/>
              </w:rPr>
              <w:t xml:space="preserve">Indicates that utility will be shut off or disconnected if payment not received, </w:t>
            </w:r>
            <w:r w:rsidRPr="00576EB8">
              <w:rPr>
                <w:rFonts w:ascii="Calibri" w:hAnsi="Calibri"/>
                <w:b/>
                <w:sz w:val="16"/>
                <w:szCs w:val="16"/>
              </w:rPr>
              <w:t>and</w:t>
            </w:r>
          </w:p>
          <w:p w:rsidR="00576EB8" w:rsidRPr="00576EB8" w:rsidRDefault="00576EB8" w:rsidP="00803675">
            <w:pPr>
              <w:numPr>
                <w:ilvl w:val="0"/>
                <w:numId w:val="47"/>
              </w:numPr>
              <w:spacing w:after="200" w:line="276" w:lineRule="auto"/>
              <w:contextualSpacing/>
              <w:rPr>
                <w:rFonts w:ascii="Calibri" w:hAnsi="Calibri"/>
                <w:sz w:val="16"/>
                <w:szCs w:val="16"/>
              </w:rPr>
            </w:pPr>
            <w:r w:rsidRPr="00576EB8">
              <w:rPr>
                <w:rFonts w:ascii="Calibri" w:hAnsi="Calibri"/>
                <w:sz w:val="16"/>
                <w:szCs w:val="16"/>
              </w:rPr>
              <w:t>Is signed and dated by utility company representative and/or includes utility company contact information</w:t>
            </w:r>
          </w:p>
          <w:p w:rsidR="00576EB8" w:rsidRPr="00576EB8" w:rsidRDefault="00576EB8" w:rsidP="00803675">
            <w:pPr>
              <w:rPr>
                <w:rFonts w:ascii="Calibri" w:hAnsi="Calibri"/>
                <w:b/>
                <w:sz w:val="16"/>
                <w:szCs w:val="16"/>
              </w:rPr>
            </w:pPr>
            <w:r w:rsidRPr="00576EB8">
              <w:rPr>
                <w:rFonts w:ascii="Calibri" w:hAnsi="Calibri"/>
                <w:b/>
                <w:sz w:val="16"/>
                <w:szCs w:val="16"/>
              </w:rPr>
              <w:t>AND</w:t>
            </w:r>
          </w:p>
          <w:p w:rsidR="00576EB8" w:rsidRPr="00576EB8" w:rsidRDefault="00576EB8" w:rsidP="00803675">
            <w:pPr>
              <w:rPr>
                <w:rFonts w:ascii="Calibri" w:hAnsi="Calibri"/>
                <w:b/>
                <w:sz w:val="16"/>
                <w:szCs w:val="16"/>
              </w:rPr>
            </w:pPr>
          </w:p>
          <w:p w:rsidR="00576EB8" w:rsidRPr="00576EB8" w:rsidRDefault="00576EB8" w:rsidP="00803675">
            <w:pPr>
              <w:rPr>
                <w:rFonts w:ascii="Calibri" w:hAnsi="Calibri"/>
                <w:sz w:val="16"/>
                <w:szCs w:val="16"/>
              </w:rPr>
            </w:pPr>
            <w:r w:rsidRPr="00576EB8">
              <w:rPr>
                <w:rFonts w:ascii="Calibri" w:hAnsi="Calibri"/>
                <w:sz w:val="16"/>
                <w:szCs w:val="16"/>
              </w:rPr>
              <w:t>A statement from the provider that without CHG assistance, the individual/household will lose their housing and become homeless. Staff must first check that LIHEAP or other utility assistance is not available.</w:t>
            </w:r>
          </w:p>
        </w:tc>
      </w:tr>
    </w:tbl>
    <w:p w:rsidR="00576EB8" w:rsidRDefault="00576EB8">
      <w:pPr>
        <w:sectPr w:rsidR="00576EB8" w:rsidSect="00E618D2">
          <w:footerReference w:type="default" r:id="rId29"/>
          <w:footerReference w:type="first" r:id="rId30"/>
          <w:pgSz w:w="15840" w:h="12240" w:orient="landscape" w:code="1"/>
          <w:pgMar w:top="1440" w:right="810" w:bottom="1440" w:left="1152" w:header="720" w:footer="720" w:gutter="0"/>
          <w:pgNumType w:start="22"/>
          <w:cols w:space="720"/>
          <w:titlePg/>
          <w:docGrid w:linePitch="360"/>
        </w:sectPr>
      </w:pPr>
    </w:p>
    <w:p w:rsidR="00E13513" w:rsidRDefault="00E13513"/>
    <w:p w:rsidR="005754B5" w:rsidRPr="00BB555E" w:rsidRDefault="00903764" w:rsidP="00A7302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8F4BE1">
        <w:rPr>
          <w:b/>
          <w:bCs/>
          <w:sz w:val="28"/>
          <w:szCs w:val="28"/>
        </w:rPr>
        <w:t>Appendix C</w:t>
      </w:r>
    </w:p>
    <w:p w:rsidR="00DD71F5" w:rsidRPr="00BB555E" w:rsidRDefault="00DD71F5" w:rsidP="00A7302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6"/>
          <w:szCs w:val="6"/>
        </w:rPr>
      </w:pPr>
    </w:p>
    <w:p w:rsidR="0017538D" w:rsidRPr="00BB555E" w:rsidRDefault="0017538D" w:rsidP="00A7302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BB555E">
        <w:rPr>
          <w:b/>
          <w:bCs/>
          <w:sz w:val="28"/>
          <w:szCs w:val="28"/>
        </w:rPr>
        <w:t xml:space="preserve">Income </w:t>
      </w:r>
      <w:r w:rsidR="00DB2DBF" w:rsidRPr="00BB555E">
        <w:rPr>
          <w:b/>
          <w:bCs/>
          <w:sz w:val="28"/>
          <w:szCs w:val="28"/>
        </w:rPr>
        <w:t xml:space="preserve">Eligibility </w:t>
      </w:r>
      <w:r w:rsidRPr="00BB555E">
        <w:rPr>
          <w:b/>
          <w:bCs/>
          <w:sz w:val="28"/>
          <w:szCs w:val="28"/>
        </w:rPr>
        <w:t>Documentation Standards</w:t>
      </w:r>
    </w:p>
    <w:p w:rsidR="0017538D" w:rsidRPr="00BB555E" w:rsidRDefault="0017538D">
      <w:pPr>
        <w:ind w:left="720"/>
        <w:rPr>
          <w:sz w:val="20"/>
          <w:szCs w:val="20"/>
        </w:rPr>
      </w:pPr>
    </w:p>
    <w:p w:rsidR="0017538D" w:rsidRDefault="0017538D">
      <w:pPr>
        <w:pStyle w:val="Default"/>
        <w:rPr>
          <w:rFonts w:ascii="Times New Roman" w:hAnsi="Times New Roman" w:cs="Times New Roman"/>
        </w:rPr>
      </w:pPr>
      <w:r w:rsidRPr="00BB555E">
        <w:rPr>
          <w:rFonts w:ascii="Times New Roman" w:hAnsi="Times New Roman" w:cs="Times New Roman"/>
        </w:rPr>
        <w:t xml:space="preserve">While Commerce has established standards for various types of income, Commerce recognizes that in some instances only applicant self-declaration may be possible. This method should be used only as a </w:t>
      </w:r>
      <w:r w:rsidRPr="00BB555E">
        <w:rPr>
          <w:rFonts w:ascii="Times New Roman" w:hAnsi="Times New Roman" w:cs="Times New Roman"/>
          <w:i/>
          <w:iCs/>
        </w:rPr>
        <w:t xml:space="preserve">last resort </w:t>
      </w:r>
      <w:r w:rsidRPr="00BB555E">
        <w:rPr>
          <w:rFonts w:ascii="Times New Roman" w:hAnsi="Times New Roman" w:cs="Times New Roman"/>
        </w:rPr>
        <w:t xml:space="preserve">when all other verification methods are not possible or reasonable. When using applicant self-declaration, </w:t>
      </w:r>
      <w:r w:rsidR="00FE4153" w:rsidRPr="00BB555E">
        <w:rPr>
          <w:rFonts w:ascii="Times New Roman" w:hAnsi="Times New Roman" w:cs="Times New Roman"/>
        </w:rPr>
        <w:t>Lead/Sub G</w:t>
      </w:r>
      <w:r w:rsidRPr="00BB555E">
        <w:rPr>
          <w:rFonts w:ascii="Times New Roman" w:hAnsi="Times New Roman" w:cs="Times New Roman"/>
        </w:rPr>
        <w:t xml:space="preserve">rantees must document why a higher verification standard was not used. Be sure to include this in the case file. </w:t>
      </w:r>
    </w:p>
    <w:p w:rsidR="00A5082F" w:rsidRDefault="00A5082F">
      <w:pPr>
        <w:pStyle w:val="Default"/>
        <w:rPr>
          <w:rFonts w:ascii="Times New Roman" w:hAnsi="Times New Roman" w:cs="Times New Roman"/>
        </w:rPr>
      </w:pPr>
    </w:p>
    <w:p w:rsidR="00A5082F" w:rsidRPr="00E418D9" w:rsidRDefault="00A5082F" w:rsidP="00A5082F">
      <w:pPr>
        <w:pStyle w:val="ListParagraph"/>
        <w:tabs>
          <w:tab w:val="left" w:pos="0"/>
        </w:tabs>
        <w:ind w:left="0"/>
      </w:pPr>
      <w:r w:rsidRPr="00E418D9">
        <w:t xml:space="preserve">Department of Social and Health Services (DSHS) Benefits Verification </w:t>
      </w:r>
      <w:r w:rsidRPr="00A5082F">
        <w:t>System (BVS) print out is acceptable for any form of income in lieu of other income documentation. If</w:t>
      </w:r>
      <w:r>
        <w:t xml:space="preserve"> </w:t>
      </w:r>
      <w:r w:rsidRPr="00A5082F">
        <w:t>BVS</w:t>
      </w:r>
      <w:r w:rsidRPr="00E418D9">
        <w:t xml:space="preserve"> documentation is not available, follow the income definition and documentation standards below.</w:t>
      </w:r>
    </w:p>
    <w:p w:rsidR="0017538D" w:rsidRPr="00BB555E" w:rsidRDefault="0017538D">
      <w:pPr>
        <w:pStyle w:val="Default"/>
        <w:rPr>
          <w:rFonts w:ascii="Times New Roman" w:hAnsi="Times New Roman" w:cs="Times New Roman"/>
        </w:rPr>
      </w:pPr>
    </w:p>
    <w:p w:rsidR="0017538D" w:rsidRPr="00BB555E" w:rsidRDefault="0017538D">
      <w:r w:rsidRPr="00BB555E">
        <w:rPr>
          <w:b/>
          <w:bCs/>
          <w:i/>
          <w:iCs/>
        </w:rPr>
        <w:t>Gross Income</w:t>
      </w:r>
      <w:r w:rsidRPr="00BB555E">
        <w:t xml:space="preserve"> is the amount of income earned before any deductions (such as taxes and health insurance premiums) are made</w:t>
      </w:r>
      <w:r w:rsidR="00A0746C" w:rsidRPr="00BB555E">
        <w:t xml:space="preserve">. </w:t>
      </w:r>
    </w:p>
    <w:p w:rsidR="0017538D" w:rsidRPr="00BB555E" w:rsidRDefault="0017538D">
      <w:pPr>
        <w:rPr>
          <w:b/>
          <w:bCs/>
          <w:i/>
          <w:iCs/>
        </w:rPr>
      </w:pPr>
    </w:p>
    <w:p w:rsidR="0017538D" w:rsidRPr="00BB555E" w:rsidRDefault="0017538D">
      <w:r w:rsidRPr="00BB555E">
        <w:rPr>
          <w:b/>
          <w:bCs/>
          <w:i/>
          <w:iCs/>
        </w:rPr>
        <w:t>Current Income</w:t>
      </w:r>
      <w:r w:rsidRPr="00BB555E">
        <w:t xml:space="preserve"> is the income that the household is currently receiving</w:t>
      </w:r>
      <w:r w:rsidR="00A0746C" w:rsidRPr="00BB555E">
        <w:t xml:space="preserve">. </w:t>
      </w:r>
      <w:r w:rsidRPr="00BB555E">
        <w:t>Income recently terminated should not be included</w:t>
      </w:r>
      <w:r w:rsidR="00A0746C" w:rsidRPr="00BB555E">
        <w:t xml:space="preserve">. </w:t>
      </w:r>
    </w:p>
    <w:p w:rsidR="0017538D" w:rsidRPr="00BB555E" w:rsidRDefault="0017538D">
      <w:pPr>
        <w:pStyle w:val="Default"/>
        <w:rPr>
          <w:rFonts w:ascii="Times New Roman" w:hAnsi="Times New Roman" w:cs="Times New Roman"/>
          <w:sz w:val="20"/>
          <w:szCs w:val="20"/>
        </w:rPr>
      </w:pPr>
    </w:p>
    <w:p w:rsidR="00FD5915" w:rsidRPr="00BB555E" w:rsidRDefault="00FD5915" w:rsidP="00FD5915">
      <w:pPr>
        <w:pStyle w:val="Default"/>
        <w:shd w:val="clear" w:color="auto" w:fill="C6D9F1" w:themeFill="text2" w:themeFillTint="33"/>
        <w:rPr>
          <w:rFonts w:ascii="Times New Roman" w:hAnsi="Times New Roman" w:cs="Times New Roman"/>
          <w:b/>
        </w:rPr>
      </w:pPr>
      <w:r w:rsidRPr="00BB555E">
        <w:rPr>
          <w:rFonts w:ascii="Times New Roman" w:hAnsi="Times New Roman" w:cs="Times New Roman"/>
          <w:b/>
        </w:rPr>
        <w:t>Type of Income</w:t>
      </w:r>
    </w:p>
    <w:p w:rsidR="00FD5915" w:rsidRPr="008E0A38" w:rsidRDefault="00FD5915">
      <w:pPr>
        <w:pStyle w:val="Default"/>
        <w:rPr>
          <w:sz w:val="20"/>
          <w:szCs w:val="20"/>
        </w:rPr>
      </w:pPr>
    </w:p>
    <w:tbl>
      <w:tblPr>
        <w:tblW w:w="930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3"/>
        <w:gridCol w:w="7021"/>
      </w:tblGrid>
      <w:tr w:rsidR="00567142" w:rsidRPr="00ED2020" w:rsidTr="00ED2020">
        <w:trPr>
          <w:jc w:val="center"/>
        </w:trPr>
        <w:tc>
          <w:tcPr>
            <w:tcW w:w="2283" w:type="dxa"/>
            <w:shd w:val="clear" w:color="auto" w:fill="000000" w:themeFill="text1"/>
          </w:tcPr>
          <w:p w:rsidR="00567142" w:rsidRPr="00BB555E" w:rsidRDefault="00567142" w:rsidP="00ED2020">
            <w:pPr>
              <w:pStyle w:val="a"/>
              <w:tabs>
                <w:tab w:val="left" w:pos="1080"/>
              </w:tabs>
              <w:spacing w:before="60" w:after="60"/>
              <w:ind w:left="0" w:firstLine="0"/>
              <w:rPr>
                <w:b/>
                <w:bCs/>
                <w:color w:val="FFFFFF" w:themeColor="background1"/>
              </w:rPr>
            </w:pPr>
            <w:r w:rsidRPr="00BB555E">
              <w:rPr>
                <w:b/>
                <w:bCs/>
                <w:color w:val="FFFFFF" w:themeColor="background1"/>
              </w:rPr>
              <w:t>Type of Income</w:t>
            </w:r>
          </w:p>
        </w:tc>
        <w:tc>
          <w:tcPr>
            <w:tcW w:w="7021" w:type="dxa"/>
            <w:shd w:val="clear" w:color="auto" w:fill="000000" w:themeFill="text1"/>
          </w:tcPr>
          <w:p w:rsidR="00567142" w:rsidRPr="00BB555E" w:rsidRDefault="00567142" w:rsidP="00ED2020">
            <w:pPr>
              <w:pStyle w:val="a"/>
              <w:tabs>
                <w:tab w:val="left" w:pos="1080"/>
              </w:tabs>
              <w:spacing w:before="60" w:after="60"/>
              <w:ind w:left="0" w:firstLine="0"/>
              <w:rPr>
                <w:b/>
                <w:bCs/>
                <w:color w:val="FFFFFF" w:themeColor="background1"/>
              </w:rPr>
            </w:pPr>
            <w:r w:rsidRPr="00BB555E">
              <w:rPr>
                <w:b/>
                <w:bCs/>
                <w:color w:val="FFFFFF" w:themeColor="background1"/>
              </w:rPr>
              <w:t>Acceptable Types of Documentation</w:t>
            </w:r>
          </w:p>
        </w:tc>
      </w:tr>
      <w:tr w:rsidR="00567142" w:rsidRPr="008E0A38" w:rsidTr="00FD5915">
        <w:trPr>
          <w:jc w:val="center"/>
        </w:trPr>
        <w:tc>
          <w:tcPr>
            <w:tcW w:w="2283" w:type="dxa"/>
          </w:tcPr>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b/>
                <w:sz w:val="22"/>
                <w:szCs w:val="22"/>
              </w:rPr>
            </w:pPr>
            <w:r w:rsidRPr="00BB555E">
              <w:rPr>
                <w:b/>
                <w:sz w:val="22"/>
                <w:szCs w:val="22"/>
              </w:rPr>
              <w:t>Wages and Salary</w:t>
            </w:r>
          </w:p>
          <w:p w:rsidR="00567142" w:rsidRPr="00BB555E" w:rsidRDefault="00567142">
            <w:pPr>
              <w:pStyle w:val="a"/>
              <w:tabs>
                <w:tab w:val="left" w:pos="1080"/>
              </w:tabs>
              <w:ind w:left="0" w:firstLine="0"/>
              <w:rPr>
                <w:sz w:val="22"/>
                <w:szCs w:val="22"/>
              </w:rPr>
            </w:pPr>
          </w:p>
        </w:tc>
        <w:tc>
          <w:tcPr>
            <w:tcW w:w="7021" w:type="dxa"/>
          </w:tcPr>
          <w:p w:rsidR="00567142" w:rsidRPr="00BB555E" w:rsidRDefault="00567142" w:rsidP="00FD39F2">
            <w:pPr>
              <w:pStyle w:val="a"/>
              <w:tabs>
                <w:tab w:val="left" w:pos="1080"/>
              </w:tabs>
              <w:ind w:left="0" w:firstLine="0"/>
              <w:rPr>
                <w:sz w:val="22"/>
                <w:szCs w:val="22"/>
              </w:rPr>
            </w:pPr>
          </w:p>
          <w:p w:rsidR="00980576" w:rsidRPr="00282033" w:rsidRDefault="00567142" w:rsidP="00282033">
            <w:pPr>
              <w:tabs>
                <w:tab w:val="left" w:pos="0"/>
              </w:tabs>
            </w:pPr>
            <w:r w:rsidRPr="00BB555E">
              <w:rPr>
                <w:sz w:val="22"/>
                <w:szCs w:val="22"/>
              </w:rPr>
              <w:t xml:space="preserve">Obtain copy of most recent pay </w:t>
            </w:r>
            <w:r w:rsidRPr="00D97D51">
              <w:rPr>
                <w:sz w:val="22"/>
                <w:szCs w:val="22"/>
              </w:rPr>
              <w:t xml:space="preserve">stub(s) </w:t>
            </w:r>
            <w:r w:rsidRPr="00BB555E">
              <w:rPr>
                <w:sz w:val="22"/>
                <w:szCs w:val="22"/>
              </w:rPr>
              <w:t>and include in client file.</w:t>
            </w:r>
          </w:p>
          <w:p w:rsidR="00567142" w:rsidRPr="00BB555E" w:rsidRDefault="00567142" w:rsidP="00FD39F2">
            <w:pPr>
              <w:pStyle w:val="a"/>
              <w:tabs>
                <w:tab w:val="left" w:pos="1080"/>
              </w:tabs>
              <w:ind w:left="0" w:firstLine="0"/>
              <w:rPr>
                <w:i/>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Written 3</w:t>
            </w:r>
            <w:r w:rsidRPr="00BB555E">
              <w:rPr>
                <w:i/>
                <w:sz w:val="22"/>
                <w:szCs w:val="22"/>
                <w:vertAlign w:val="superscript"/>
              </w:rPr>
              <w:t>rd</w:t>
            </w:r>
            <w:r w:rsidRPr="00BB555E">
              <w:rPr>
                <w:i/>
                <w:sz w:val="22"/>
                <w:szCs w:val="22"/>
              </w:rPr>
              <w:t xml:space="preserve"> Party Verification </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Mail, fax or email verification of income request to employer. At a minimum, written verification must include: name of employer and client name, pay amount and frequency, average hours worked per week, amount of any additional compensation. 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Oral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Contact the employer by phone or in person. At a minimum, oral verification must include: name of employer and client name, pay amount and frequency, average hours worked per week, amount of any additional compensation and be signed and dated by staff who obtained the information. 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 xml:space="preserve">OR Self Declaration </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Obtain signed and dated self declaration from the client. At a minimum must include source of income, income amount and frequency, and be signed. Copy kept in client file. Case manager must document attempts to obtain written and oral verification.</w:t>
            </w:r>
          </w:p>
          <w:p w:rsidR="00567142" w:rsidRPr="00BB555E" w:rsidRDefault="00567142" w:rsidP="00FD39F2">
            <w:pPr>
              <w:pStyle w:val="a"/>
              <w:tabs>
                <w:tab w:val="left" w:pos="1080"/>
              </w:tabs>
              <w:ind w:left="0" w:firstLine="0"/>
              <w:rPr>
                <w:sz w:val="16"/>
                <w:szCs w:val="16"/>
              </w:rPr>
            </w:pPr>
          </w:p>
        </w:tc>
      </w:tr>
      <w:tr w:rsidR="00567142" w:rsidRPr="00BB555E" w:rsidTr="00FD5915">
        <w:trPr>
          <w:jc w:val="center"/>
        </w:trPr>
        <w:tc>
          <w:tcPr>
            <w:tcW w:w="2283" w:type="dxa"/>
          </w:tcPr>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b/>
                <w:sz w:val="22"/>
                <w:szCs w:val="22"/>
              </w:rPr>
            </w:pPr>
            <w:r w:rsidRPr="00BB555E">
              <w:rPr>
                <w:b/>
                <w:sz w:val="22"/>
                <w:szCs w:val="22"/>
              </w:rPr>
              <w:t xml:space="preserve">Self Employment and </w:t>
            </w:r>
            <w:r w:rsidRPr="00BB555E">
              <w:rPr>
                <w:b/>
                <w:sz w:val="22"/>
                <w:szCs w:val="22"/>
              </w:rPr>
              <w:lastRenderedPageBreak/>
              <w:t>Business Income</w:t>
            </w:r>
          </w:p>
          <w:p w:rsidR="00567142" w:rsidRPr="00BB555E" w:rsidRDefault="00567142">
            <w:pPr>
              <w:pStyle w:val="a"/>
              <w:tabs>
                <w:tab w:val="left" w:pos="1080"/>
              </w:tabs>
              <w:ind w:left="0" w:firstLine="0"/>
              <w:rPr>
                <w:sz w:val="22"/>
                <w:szCs w:val="22"/>
              </w:rPr>
            </w:pPr>
          </w:p>
        </w:tc>
        <w:tc>
          <w:tcPr>
            <w:tcW w:w="7021" w:type="dxa"/>
          </w:tcPr>
          <w:p w:rsidR="00567142" w:rsidRPr="00BB555E" w:rsidRDefault="00567142" w:rsidP="00FD39F2">
            <w:pPr>
              <w:pStyle w:val="a"/>
              <w:tabs>
                <w:tab w:val="left" w:pos="1080"/>
              </w:tabs>
              <w:ind w:left="0" w:firstLine="0"/>
              <w:rPr>
                <w:sz w:val="22"/>
                <w:szCs w:val="22"/>
              </w:rPr>
            </w:pPr>
          </w:p>
          <w:p w:rsidR="00567142" w:rsidRPr="00BB555E" w:rsidRDefault="00567142" w:rsidP="00FD39F2">
            <w:pPr>
              <w:pStyle w:val="a"/>
              <w:tabs>
                <w:tab w:val="left" w:pos="1080"/>
              </w:tabs>
              <w:ind w:left="0" w:firstLine="0"/>
              <w:rPr>
                <w:sz w:val="22"/>
                <w:szCs w:val="22"/>
              </w:rPr>
            </w:pPr>
            <w:r w:rsidRPr="00BB555E">
              <w:rPr>
                <w:sz w:val="22"/>
                <w:szCs w:val="22"/>
              </w:rPr>
              <w:t xml:space="preserve">Obtain copy of most recent federal and state tax return from the applicant </w:t>
            </w:r>
            <w:r w:rsidRPr="00BB555E">
              <w:rPr>
                <w:sz w:val="22"/>
                <w:szCs w:val="22"/>
              </w:rPr>
              <w:lastRenderedPageBreak/>
              <w:t xml:space="preserve">and keep copy in client file. </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 xml:space="preserve">OR Self Declaration </w:t>
            </w:r>
          </w:p>
          <w:p w:rsidR="00567142" w:rsidRPr="00BB555E" w:rsidRDefault="00567142" w:rsidP="00FD39F2">
            <w:pPr>
              <w:pStyle w:val="a"/>
              <w:tabs>
                <w:tab w:val="left" w:pos="1080"/>
              </w:tabs>
              <w:ind w:left="0" w:firstLine="0"/>
              <w:rPr>
                <w:sz w:val="16"/>
                <w:szCs w:val="16"/>
              </w:rPr>
            </w:pPr>
          </w:p>
          <w:p w:rsidR="00567142" w:rsidRDefault="00567142" w:rsidP="009141A0">
            <w:pPr>
              <w:pStyle w:val="a"/>
              <w:tabs>
                <w:tab w:val="left" w:pos="1080"/>
              </w:tabs>
              <w:ind w:left="0" w:firstLine="0"/>
              <w:rPr>
                <w:sz w:val="22"/>
                <w:szCs w:val="22"/>
              </w:rPr>
            </w:pPr>
            <w:r w:rsidRPr="00BB555E">
              <w:rPr>
                <w:sz w:val="22"/>
                <w:szCs w:val="22"/>
              </w:rPr>
              <w:t>Obtain signed and dated self declaration from the client. At a minimum must include source of income, income amount and frequency and be signed. Copy kept in client file. Case manager must document attempts to obtain written and oral verification.</w:t>
            </w:r>
          </w:p>
          <w:p w:rsidR="00BB555E" w:rsidRPr="00BB555E" w:rsidRDefault="00BB555E" w:rsidP="009141A0">
            <w:pPr>
              <w:pStyle w:val="a"/>
              <w:tabs>
                <w:tab w:val="left" w:pos="1080"/>
              </w:tabs>
              <w:ind w:left="0" w:firstLine="0"/>
              <w:rPr>
                <w:sz w:val="22"/>
                <w:szCs w:val="22"/>
              </w:rPr>
            </w:pPr>
          </w:p>
        </w:tc>
      </w:tr>
      <w:tr w:rsidR="00567142" w:rsidRPr="00BB555E" w:rsidTr="00060AC7">
        <w:trPr>
          <w:jc w:val="center"/>
        </w:trPr>
        <w:tc>
          <w:tcPr>
            <w:tcW w:w="2283" w:type="dxa"/>
            <w:tcBorders>
              <w:bottom w:val="single" w:sz="4" w:space="0" w:color="auto"/>
            </w:tcBorders>
          </w:tcPr>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b/>
                <w:sz w:val="22"/>
                <w:szCs w:val="22"/>
              </w:rPr>
            </w:pPr>
            <w:r w:rsidRPr="00BB555E">
              <w:rPr>
                <w:b/>
                <w:sz w:val="22"/>
                <w:szCs w:val="22"/>
              </w:rPr>
              <w:t>Interest and Dividend Income</w:t>
            </w:r>
          </w:p>
          <w:p w:rsidR="00567142" w:rsidRPr="00BB555E" w:rsidRDefault="00567142">
            <w:pPr>
              <w:pStyle w:val="a"/>
              <w:tabs>
                <w:tab w:val="left" w:pos="1080"/>
              </w:tabs>
              <w:ind w:left="0" w:firstLine="0"/>
              <w:rPr>
                <w:sz w:val="22"/>
                <w:szCs w:val="22"/>
              </w:rPr>
            </w:pPr>
          </w:p>
        </w:tc>
        <w:tc>
          <w:tcPr>
            <w:tcW w:w="7021" w:type="dxa"/>
            <w:tcBorders>
              <w:bottom w:val="single" w:sz="4" w:space="0" w:color="auto"/>
            </w:tcBorders>
          </w:tcPr>
          <w:p w:rsidR="00567142" w:rsidRPr="00BB555E" w:rsidRDefault="00567142" w:rsidP="00FD39F2">
            <w:pPr>
              <w:pStyle w:val="a"/>
              <w:tabs>
                <w:tab w:val="left" w:pos="1080"/>
              </w:tabs>
              <w:ind w:left="0" w:firstLine="0"/>
              <w:rPr>
                <w:sz w:val="22"/>
                <w:szCs w:val="22"/>
              </w:rPr>
            </w:pPr>
          </w:p>
          <w:p w:rsidR="00567142" w:rsidRPr="00BB555E" w:rsidRDefault="00567142" w:rsidP="00FD39F2">
            <w:pPr>
              <w:pStyle w:val="a"/>
              <w:tabs>
                <w:tab w:val="left" w:pos="1080"/>
              </w:tabs>
              <w:ind w:left="0" w:firstLine="0"/>
              <w:rPr>
                <w:sz w:val="22"/>
                <w:szCs w:val="22"/>
              </w:rPr>
            </w:pPr>
            <w:r w:rsidRPr="00BB555E">
              <w:rPr>
                <w:sz w:val="22"/>
                <w:szCs w:val="22"/>
              </w:rPr>
              <w:t xml:space="preserve">Obtain copy of most recent interest or dividend income statement from client and keep copy in client file. </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Obtain copy of most recent federal and state tax return from the applicant and keep copy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Self Declaration</w:t>
            </w:r>
          </w:p>
          <w:p w:rsidR="00567142" w:rsidRPr="00BB555E" w:rsidRDefault="00567142" w:rsidP="00FD39F2">
            <w:pPr>
              <w:pStyle w:val="a"/>
              <w:tabs>
                <w:tab w:val="left" w:pos="1080"/>
              </w:tabs>
              <w:ind w:left="0" w:firstLine="0"/>
              <w:rPr>
                <w:sz w:val="16"/>
                <w:szCs w:val="16"/>
              </w:rPr>
            </w:pPr>
          </w:p>
          <w:p w:rsidR="00567142" w:rsidRDefault="00567142" w:rsidP="00FE4153">
            <w:pPr>
              <w:pStyle w:val="a"/>
              <w:tabs>
                <w:tab w:val="left" w:pos="1080"/>
              </w:tabs>
              <w:ind w:left="0" w:firstLine="0"/>
              <w:rPr>
                <w:sz w:val="22"/>
                <w:szCs w:val="22"/>
              </w:rPr>
            </w:pPr>
            <w:r w:rsidRPr="00BB555E">
              <w:rPr>
                <w:sz w:val="22"/>
                <w:szCs w:val="22"/>
              </w:rPr>
              <w:t>Obtain signed and dated self declaration from the client. At a minimum must include source of income, income amount and frequency and be signed. Copy kept in client file. Case manager must document attempts to obtain written and oral verification.</w:t>
            </w:r>
          </w:p>
          <w:p w:rsidR="00BB555E" w:rsidRPr="00BB555E" w:rsidRDefault="00BB555E" w:rsidP="00FE4153">
            <w:pPr>
              <w:pStyle w:val="a"/>
              <w:tabs>
                <w:tab w:val="left" w:pos="1080"/>
              </w:tabs>
              <w:ind w:left="0" w:firstLine="0"/>
              <w:rPr>
                <w:sz w:val="22"/>
                <w:szCs w:val="22"/>
              </w:rPr>
            </w:pPr>
          </w:p>
        </w:tc>
      </w:tr>
      <w:tr w:rsidR="00567142" w:rsidRPr="00BB555E" w:rsidTr="00060AC7">
        <w:trPr>
          <w:trHeight w:val="5534"/>
          <w:jc w:val="center"/>
        </w:trPr>
        <w:tc>
          <w:tcPr>
            <w:tcW w:w="2283" w:type="dxa"/>
            <w:tcBorders>
              <w:bottom w:val="nil"/>
            </w:tcBorders>
          </w:tcPr>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b/>
                <w:sz w:val="22"/>
                <w:szCs w:val="22"/>
              </w:rPr>
            </w:pPr>
            <w:r w:rsidRPr="00BB555E">
              <w:rPr>
                <w:b/>
                <w:sz w:val="22"/>
                <w:szCs w:val="22"/>
              </w:rPr>
              <w:t>Pension/Retirement Income</w:t>
            </w: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tc>
        <w:tc>
          <w:tcPr>
            <w:tcW w:w="7021" w:type="dxa"/>
            <w:tcBorders>
              <w:bottom w:val="nil"/>
            </w:tcBorders>
          </w:tcPr>
          <w:p w:rsidR="00567142" w:rsidRPr="00BB555E" w:rsidRDefault="00567142" w:rsidP="00FD39F2">
            <w:pPr>
              <w:pStyle w:val="a"/>
              <w:tabs>
                <w:tab w:val="left" w:pos="1080"/>
              </w:tabs>
              <w:ind w:left="0" w:firstLine="0"/>
              <w:rPr>
                <w:sz w:val="22"/>
                <w:szCs w:val="22"/>
              </w:rPr>
            </w:pPr>
          </w:p>
          <w:p w:rsidR="00567142" w:rsidRPr="00BB555E" w:rsidRDefault="00567142" w:rsidP="00FD39F2">
            <w:pPr>
              <w:pStyle w:val="a"/>
              <w:tabs>
                <w:tab w:val="left" w:pos="1080"/>
              </w:tabs>
              <w:ind w:left="0" w:firstLine="0"/>
              <w:rPr>
                <w:sz w:val="22"/>
                <w:szCs w:val="22"/>
              </w:rPr>
            </w:pPr>
            <w:r w:rsidRPr="00BB555E">
              <w:rPr>
                <w:sz w:val="22"/>
                <w:szCs w:val="22"/>
              </w:rPr>
              <w:t>Obtain copy of most recent payment statement</w:t>
            </w:r>
            <w:r w:rsidR="00D97D51">
              <w:rPr>
                <w:sz w:val="22"/>
                <w:szCs w:val="22"/>
              </w:rPr>
              <w:t>,</w:t>
            </w:r>
            <w:r w:rsidRPr="00BB555E">
              <w:rPr>
                <w:sz w:val="22"/>
                <w:szCs w:val="22"/>
              </w:rPr>
              <w:t xml:space="preserve"> benefit notice from Social Security, pension provider or other source</w:t>
            </w:r>
            <w:r w:rsidR="009710B8" w:rsidRPr="00BB555E">
              <w:rPr>
                <w:sz w:val="22"/>
                <w:szCs w:val="22"/>
              </w:rPr>
              <w:t>.</w:t>
            </w:r>
            <w:r w:rsidR="009710B8">
              <w:rPr>
                <w:sz w:val="22"/>
                <w:szCs w:val="22"/>
              </w:rPr>
              <w:t xml:space="preserve">  </w:t>
            </w:r>
            <w:r w:rsidRPr="00BB555E">
              <w:rPr>
                <w:sz w:val="22"/>
                <w:szCs w:val="22"/>
              </w:rPr>
              <w:t>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Written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Mail, fax or email verification of income request to Social Security, pension provider or other source. At a minimum, written verification must include: name of income source, income amount. Copy kept in client file.</w:t>
            </w:r>
          </w:p>
          <w:p w:rsidR="00567142" w:rsidRPr="00BB555E" w:rsidRDefault="00567142" w:rsidP="00FD39F2">
            <w:pPr>
              <w:pStyle w:val="a"/>
              <w:tabs>
                <w:tab w:val="left" w:pos="1080"/>
              </w:tabs>
              <w:ind w:left="0" w:firstLine="0"/>
              <w:rPr>
                <w:i/>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Oral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 xml:space="preserve">Contact the source by phone or in person. At a minimum, oral verification must include: </w:t>
            </w:r>
          </w:p>
          <w:p w:rsidR="00567142" w:rsidRPr="00BB555E" w:rsidRDefault="00326E3A" w:rsidP="00FD39F2">
            <w:pPr>
              <w:pStyle w:val="a"/>
              <w:tabs>
                <w:tab w:val="left" w:pos="1080"/>
              </w:tabs>
              <w:ind w:left="0" w:firstLine="0"/>
              <w:rPr>
                <w:sz w:val="22"/>
                <w:szCs w:val="22"/>
              </w:rPr>
            </w:pPr>
            <w:r w:rsidRPr="00BB555E">
              <w:rPr>
                <w:sz w:val="22"/>
                <w:szCs w:val="22"/>
              </w:rPr>
              <w:t>Name</w:t>
            </w:r>
            <w:r w:rsidR="00567142" w:rsidRPr="00BB555E">
              <w:rPr>
                <w:sz w:val="22"/>
                <w:szCs w:val="22"/>
              </w:rPr>
              <w:t xml:space="preserve"> of income source, income amount and be signed and dated by income source representative. Copy kept in client file.</w:t>
            </w:r>
          </w:p>
          <w:p w:rsidR="00567142" w:rsidRPr="00BB555E" w:rsidRDefault="00567142" w:rsidP="00FD39F2">
            <w:pPr>
              <w:pStyle w:val="a"/>
              <w:tabs>
                <w:tab w:val="left" w:pos="1080"/>
              </w:tabs>
              <w:ind w:left="0" w:firstLine="0"/>
              <w:rPr>
                <w:i/>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 xml:space="preserve">OR Self Declaration </w:t>
            </w:r>
          </w:p>
          <w:p w:rsidR="00567142" w:rsidRPr="00BB555E" w:rsidRDefault="00567142" w:rsidP="00FD39F2">
            <w:pPr>
              <w:pStyle w:val="a"/>
              <w:tabs>
                <w:tab w:val="left" w:pos="1080"/>
              </w:tabs>
              <w:ind w:left="0" w:firstLine="0"/>
              <w:rPr>
                <w:sz w:val="16"/>
                <w:szCs w:val="16"/>
              </w:rPr>
            </w:pPr>
          </w:p>
          <w:p w:rsidR="00567142" w:rsidRPr="00BB555E" w:rsidRDefault="00567142" w:rsidP="00FE4153">
            <w:pPr>
              <w:pStyle w:val="a"/>
              <w:tabs>
                <w:tab w:val="left" w:pos="1080"/>
              </w:tabs>
              <w:ind w:left="0" w:firstLine="0"/>
              <w:rPr>
                <w:sz w:val="22"/>
                <w:szCs w:val="22"/>
              </w:rPr>
            </w:pPr>
            <w:r w:rsidRPr="00BB555E">
              <w:rPr>
                <w:sz w:val="22"/>
                <w:szCs w:val="22"/>
              </w:rPr>
              <w:t>Obtain signed and dated self declaration from the client. At a minimum must include source of income, income amount and frequency and be signed. Copy kept in client file. Case manager must document attempts to obtain written and oral verification.</w:t>
            </w:r>
          </w:p>
        </w:tc>
      </w:tr>
    </w:tbl>
    <w:p w:rsidR="00E21FF2" w:rsidRDefault="00E21FF2">
      <w:pPr>
        <w:pStyle w:val="a"/>
        <w:tabs>
          <w:tab w:val="left" w:pos="1080"/>
        </w:tabs>
        <w:ind w:left="0" w:firstLine="0"/>
        <w:rPr>
          <w:sz w:val="22"/>
          <w:szCs w:val="22"/>
        </w:rPr>
        <w:sectPr w:rsidR="00E21FF2" w:rsidSect="0050665D">
          <w:footerReference w:type="default" r:id="rId31"/>
          <w:footerReference w:type="first" r:id="rId32"/>
          <w:pgSz w:w="12240" w:h="15840" w:code="1"/>
          <w:pgMar w:top="1152" w:right="1440" w:bottom="1152" w:left="1440" w:header="720" w:footer="720" w:gutter="0"/>
          <w:pgNumType w:start="25"/>
          <w:cols w:space="720"/>
          <w:titlePg/>
          <w:docGrid w:linePitch="360"/>
        </w:sectPr>
      </w:pPr>
    </w:p>
    <w:tbl>
      <w:tblPr>
        <w:tblW w:w="930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3"/>
        <w:gridCol w:w="7021"/>
      </w:tblGrid>
      <w:tr w:rsidR="00567142" w:rsidRPr="00BB555E" w:rsidTr="00FD5915">
        <w:trPr>
          <w:jc w:val="center"/>
        </w:trPr>
        <w:tc>
          <w:tcPr>
            <w:tcW w:w="2283" w:type="dxa"/>
          </w:tcPr>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b/>
                <w:sz w:val="22"/>
                <w:szCs w:val="22"/>
              </w:rPr>
            </w:pPr>
            <w:r w:rsidRPr="00BB555E">
              <w:rPr>
                <w:b/>
                <w:sz w:val="22"/>
                <w:szCs w:val="22"/>
              </w:rPr>
              <w:t>Unemployment and Disability Income</w:t>
            </w:r>
          </w:p>
          <w:p w:rsidR="00567142" w:rsidRPr="00BB555E" w:rsidRDefault="00567142">
            <w:pPr>
              <w:pStyle w:val="a"/>
              <w:tabs>
                <w:tab w:val="left" w:pos="1080"/>
              </w:tabs>
              <w:ind w:left="0" w:firstLine="0"/>
              <w:rPr>
                <w:sz w:val="22"/>
                <w:szCs w:val="22"/>
              </w:rPr>
            </w:pPr>
          </w:p>
        </w:tc>
        <w:tc>
          <w:tcPr>
            <w:tcW w:w="7021" w:type="dxa"/>
          </w:tcPr>
          <w:p w:rsidR="00567142" w:rsidRPr="00BB555E" w:rsidRDefault="00567142" w:rsidP="00FD39F2">
            <w:pPr>
              <w:pStyle w:val="a"/>
              <w:tabs>
                <w:tab w:val="left" w:pos="1080"/>
              </w:tabs>
              <w:ind w:left="0" w:firstLine="0"/>
              <w:rPr>
                <w:sz w:val="22"/>
                <w:szCs w:val="22"/>
              </w:rPr>
            </w:pPr>
          </w:p>
          <w:p w:rsidR="00567142" w:rsidRPr="00BB555E" w:rsidRDefault="00567142" w:rsidP="00FD39F2">
            <w:pPr>
              <w:pStyle w:val="a"/>
              <w:tabs>
                <w:tab w:val="left" w:pos="1080"/>
              </w:tabs>
              <w:ind w:left="0" w:firstLine="0"/>
              <w:rPr>
                <w:sz w:val="22"/>
                <w:szCs w:val="22"/>
              </w:rPr>
            </w:pPr>
            <w:r w:rsidRPr="00BB555E">
              <w:rPr>
                <w:sz w:val="22"/>
                <w:szCs w:val="22"/>
              </w:rPr>
              <w:t>Obtain copy of most recent payment statement</w:t>
            </w:r>
            <w:r w:rsidR="00D97D51">
              <w:rPr>
                <w:sz w:val="22"/>
                <w:szCs w:val="22"/>
              </w:rPr>
              <w:t>,</w:t>
            </w:r>
            <w:r w:rsidRPr="00BB555E">
              <w:rPr>
                <w:sz w:val="22"/>
                <w:szCs w:val="22"/>
              </w:rPr>
              <w:t xml:space="preserve"> </w:t>
            </w:r>
            <w:r w:rsidR="00B83F1F">
              <w:rPr>
                <w:sz w:val="22"/>
                <w:szCs w:val="22"/>
              </w:rPr>
              <w:t xml:space="preserve">or </w:t>
            </w:r>
            <w:r w:rsidRPr="00BB555E">
              <w:rPr>
                <w:sz w:val="22"/>
                <w:szCs w:val="22"/>
              </w:rPr>
              <w:t>benefit notice</w:t>
            </w:r>
            <w:r w:rsidR="00B83F1F">
              <w:rPr>
                <w:sz w:val="22"/>
                <w:szCs w:val="22"/>
              </w:rPr>
              <w:t>.</w:t>
            </w:r>
            <w:r w:rsidR="009710B8">
              <w:rPr>
                <w:sz w:val="22"/>
                <w:szCs w:val="22"/>
              </w:rPr>
              <w:t xml:space="preserve">  </w:t>
            </w:r>
            <w:r w:rsidRPr="00BB555E">
              <w:rPr>
                <w:sz w:val="22"/>
                <w:szCs w:val="22"/>
              </w:rPr>
              <w:t>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Written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lastRenderedPageBreak/>
              <w:t>Mail, fax or email verification of income request to unemployment administrator, workers compensation administrator of former employer. At a minimum, written verification must include: name of income source, income amount. Copy kept in client file.</w:t>
            </w:r>
          </w:p>
          <w:p w:rsidR="00567142" w:rsidRPr="00BB555E" w:rsidRDefault="00567142" w:rsidP="00FD39F2">
            <w:pPr>
              <w:pStyle w:val="a"/>
              <w:tabs>
                <w:tab w:val="left" w:pos="1080"/>
              </w:tabs>
              <w:ind w:left="0" w:firstLine="0"/>
              <w:rPr>
                <w:sz w:val="22"/>
                <w:szCs w:val="22"/>
              </w:rPr>
            </w:pPr>
          </w:p>
          <w:p w:rsidR="00567142" w:rsidRPr="00BB555E" w:rsidRDefault="00567142" w:rsidP="00FD39F2">
            <w:pPr>
              <w:pStyle w:val="a"/>
              <w:tabs>
                <w:tab w:val="left" w:pos="1080"/>
              </w:tabs>
              <w:ind w:left="0" w:firstLine="0"/>
              <w:rPr>
                <w:i/>
                <w:sz w:val="22"/>
                <w:szCs w:val="22"/>
              </w:rPr>
            </w:pPr>
            <w:r w:rsidRPr="00BB555E">
              <w:rPr>
                <w:i/>
                <w:sz w:val="22"/>
                <w:szCs w:val="22"/>
              </w:rPr>
              <w:t>OR Oral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 xml:space="preserve">Contact the source by phone or in person. At a minimum, oral verification must include: </w:t>
            </w:r>
          </w:p>
          <w:p w:rsidR="00567142" w:rsidRPr="00BB555E" w:rsidRDefault="00326E3A" w:rsidP="00FD39F2">
            <w:pPr>
              <w:pStyle w:val="a"/>
              <w:tabs>
                <w:tab w:val="left" w:pos="1080"/>
              </w:tabs>
              <w:ind w:left="0" w:firstLine="0"/>
              <w:rPr>
                <w:sz w:val="22"/>
                <w:szCs w:val="22"/>
              </w:rPr>
            </w:pPr>
            <w:r w:rsidRPr="00BB555E">
              <w:rPr>
                <w:sz w:val="22"/>
                <w:szCs w:val="22"/>
              </w:rPr>
              <w:t>Name</w:t>
            </w:r>
            <w:r w:rsidR="00567142" w:rsidRPr="00BB555E">
              <w:rPr>
                <w:sz w:val="22"/>
                <w:szCs w:val="22"/>
              </w:rPr>
              <w:t xml:space="preserve"> of income source, income amount and be signed and dated by income source representative. 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 xml:space="preserve">OR Self Declaration </w:t>
            </w:r>
          </w:p>
          <w:p w:rsidR="00567142" w:rsidRPr="00BB555E" w:rsidRDefault="00567142" w:rsidP="00FD39F2">
            <w:pPr>
              <w:pStyle w:val="a"/>
              <w:tabs>
                <w:tab w:val="left" w:pos="1080"/>
              </w:tabs>
              <w:ind w:left="0" w:firstLine="0"/>
              <w:rPr>
                <w:sz w:val="16"/>
                <w:szCs w:val="16"/>
              </w:rPr>
            </w:pPr>
          </w:p>
          <w:p w:rsidR="00567142" w:rsidRDefault="00567142" w:rsidP="00FE4153">
            <w:pPr>
              <w:pStyle w:val="a"/>
              <w:tabs>
                <w:tab w:val="left" w:pos="1080"/>
              </w:tabs>
              <w:ind w:left="0" w:firstLine="0"/>
              <w:rPr>
                <w:sz w:val="22"/>
                <w:szCs w:val="22"/>
              </w:rPr>
            </w:pPr>
            <w:r w:rsidRPr="00BB555E">
              <w:rPr>
                <w:sz w:val="22"/>
                <w:szCs w:val="22"/>
              </w:rPr>
              <w:t>Obtain signed and dated self declaration from the client. At a minimum must include source of income, income amount and frequency and be signed. Copy kept in client file. Case manager must document attempts to obtain written and oral verification.</w:t>
            </w:r>
          </w:p>
          <w:p w:rsidR="00BB555E" w:rsidRPr="00BB555E" w:rsidRDefault="00BB555E" w:rsidP="00FE4153">
            <w:pPr>
              <w:pStyle w:val="a"/>
              <w:tabs>
                <w:tab w:val="left" w:pos="1080"/>
              </w:tabs>
              <w:ind w:left="0" w:firstLine="0"/>
              <w:rPr>
                <w:sz w:val="22"/>
                <w:szCs w:val="22"/>
              </w:rPr>
            </w:pPr>
          </w:p>
        </w:tc>
      </w:tr>
      <w:tr w:rsidR="00567142" w:rsidRPr="00BB555E" w:rsidTr="00FD5915">
        <w:trPr>
          <w:jc w:val="center"/>
        </w:trPr>
        <w:tc>
          <w:tcPr>
            <w:tcW w:w="2283" w:type="dxa"/>
          </w:tcPr>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b/>
                <w:sz w:val="22"/>
                <w:szCs w:val="22"/>
              </w:rPr>
            </w:pPr>
            <w:r w:rsidRPr="00BB555E">
              <w:rPr>
                <w:b/>
                <w:sz w:val="22"/>
                <w:szCs w:val="22"/>
              </w:rPr>
              <w:t>TANF/Public Assistance</w:t>
            </w: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p w:rsidR="00567142" w:rsidRPr="00BB555E" w:rsidRDefault="00567142">
            <w:pPr>
              <w:pStyle w:val="a"/>
              <w:tabs>
                <w:tab w:val="left" w:pos="1080"/>
              </w:tabs>
              <w:ind w:left="0" w:firstLine="0"/>
              <w:rPr>
                <w:sz w:val="22"/>
                <w:szCs w:val="22"/>
              </w:rPr>
            </w:pPr>
          </w:p>
        </w:tc>
        <w:tc>
          <w:tcPr>
            <w:tcW w:w="7021" w:type="dxa"/>
          </w:tcPr>
          <w:p w:rsidR="00567142" w:rsidRPr="00BB555E" w:rsidRDefault="00567142" w:rsidP="00FD39F2">
            <w:pPr>
              <w:pStyle w:val="a"/>
              <w:tabs>
                <w:tab w:val="left" w:pos="1080"/>
              </w:tabs>
              <w:ind w:left="0" w:firstLine="0"/>
              <w:rPr>
                <w:sz w:val="22"/>
                <w:szCs w:val="22"/>
              </w:rPr>
            </w:pPr>
          </w:p>
          <w:p w:rsidR="00567142" w:rsidRPr="00BB555E" w:rsidRDefault="00567142" w:rsidP="00FD39F2">
            <w:pPr>
              <w:pStyle w:val="a"/>
              <w:tabs>
                <w:tab w:val="left" w:pos="1080"/>
              </w:tabs>
              <w:ind w:left="0" w:firstLine="0"/>
              <w:rPr>
                <w:sz w:val="22"/>
                <w:szCs w:val="22"/>
              </w:rPr>
            </w:pPr>
            <w:r w:rsidRPr="00BB555E">
              <w:rPr>
                <w:sz w:val="22"/>
                <w:szCs w:val="22"/>
              </w:rPr>
              <w:t>Obtain copy of most recent payment statement</w:t>
            </w:r>
            <w:r w:rsidR="00D97D51">
              <w:rPr>
                <w:sz w:val="22"/>
                <w:szCs w:val="22"/>
              </w:rPr>
              <w:t xml:space="preserve">, </w:t>
            </w:r>
            <w:r w:rsidR="00B83F1F">
              <w:rPr>
                <w:sz w:val="22"/>
                <w:szCs w:val="22"/>
              </w:rPr>
              <w:t xml:space="preserve">or </w:t>
            </w:r>
            <w:r w:rsidRPr="00BB555E">
              <w:rPr>
                <w:sz w:val="22"/>
                <w:szCs w:val="22"/>
              </w:rPr>
              <w:t>benefit notice</w:t>
            </w:r>
            <w:r w:rsidR="009710B8">
              <w:rPr>
                <w:sz w:val="22"/>
                <w:szCs w:val="22"/>
              </w:rPr>
              <w:t xml:space="preserve">.  </w:t>
            </w:r>
            <w:r w:rsidRPr="00BB555E">
              <w:rPr>
                <w:sz w:val="22"/>
                <w:szCs w:val="22"/>
              </w:rPr>
              <w:t>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Written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Mail, fax or email verification of income request to welfare administrator. At a minimum, written verification must include: name of income source, income amount. 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Oral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Contact the source by phone or in person. At a minimum, o</w:t>
            </w:r>
            <w:r w:rsidR="00A2423C" w:rsidRPr="00BB555E">
              <w:rPr>
                <w:sz w:val="22"/>
                <w:szCs w:val="22"/>
              </w:rPr>
              <w:t xml:space="preserve">ral verification must include: </w:t>
            </w:r>
            <w:r w:rsidRPr="00BB555E">
              <w:rPr>
                <w:sz w:val="22"/>
                <w:szCs w:val="22"/>
              </w:rPr>
              <w:t>name of income source, income amount and be signed and dated by income source representative. 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 xml:space="preserve">OR Self Declaration </w:t>
            </w:r>
          </w:p>
          <w:p w:rsidR="00567142" w:rsidRPr="00BB555E" w:rsidRDefault="00567142" w:rsidP="00FD39F2">
            <w:pPr>
              <w:pStyle w:val="a"/>
              <w:tabs>
                <w:tab w:val="left" w:pos="1080"/>
              </w:tabs>
              <w:ind w:left="0" w:firstLine="0"/>
              <w:rPr>
                <w:sz w:val="16"/>
                <w:szCs w:val="16"/>
              </w:rPr>
            </w:pPr>
          </w:p>
          <w:p w:rsidR="00567142" w:rsidRDefault="00567142" w:rsidP="00FE4153">
            <w:pPr>
              <w:pStyle w:val="a"/>
              <w:tabs>
                <w:tab w:val="left" w:pos="1080"/>
              </w:tabs>
              <w:ind w:left="0" w:firstLine="0"/>
              <w:rPr>
                <w:sz w:val="22"/>
                <w:szCs w:val="22"/>
              </w:rPr>
            </w:pPr>
            <w:r w:rsidRPr="00BB555E">
              <w:rPr>
                <w:sz w:val="22"/>
                <w:szCs w:val="22"/>
              </w:rPr>
              <w:t>Obtain signed and dated self declaration from the client. At a minimum must include source of income, income amount and frequency and be signed. Copy kept in client file. Case manager must document attempts to obtain written and oral verification.</w:t>
            </w:r>
          </w:p>
          <w:p w:rsidR="00BB555E" w:rsidRPr="00BB555E" w:rsidRDefault="00BB555E" w:rsidP="00FE4153">
            <w:pPr>
              <w:pStyle w:val="a"/>
              <w:tabs>
                <w:tab w:val="left" w:pos="1080"/>
              </w:tabs>
              <w:ind w:left="0" w:firstLine="0"/>
              <w:rPr>
                <w:sz w:val="22"/>
                <w:szCs w:val="22"/>
              </w:rPr>
            </w:pPr>
          </w:p>
        </w:tc>
      </w:tr>
      <w:tr w:rsidR="00567142" w:rsidRPr="00BB555E" w:rsidTr="00FD5915">
        <w:trPr>
          <w:jc w:val="center"/>
        </w:trPr>
        <w:tc>
          <w:tcPr>
            <w:tcW w:w="2283" w:type="dxa"/>
          </w:tcPr>
          <w:p w:rsidR="00BB555E" w:rsidRDefault="00BB555E">
            <w:pPr>
              <w:pStyle w:val="a"/>
              <w:tabs>
                <w:tab w:val="left" w:pos="1080"/>
              </w:tabs>
              <w:ind w:left="0" w:firstLine="0"/>
              <w:rPr>
                <w:b/>
                <w:sz w:val="22"/>
                <w:szCs w:val="22"/>
              </w:rPr>
            </w:pPr>
          </w:p>
          <w:p w:rsidR="00567142" w:rsidRPr="00BB555E" w:rsidRDefault="00567142">
            <w:pPr>
              <w:pStyle w:val="a"/>
              <w:tabs>
                <w:tab w:val="left" w:pos="1080"/>
              </w:tabs>
              <w:ind w:left="0" w:firstLine="0"/>
              <w:rPr>
                <w:b/>
                <w:sz w:val="22"/>
                <w:szCs w:val="22"/>
              </w:rPr>
            </w:pPr>
            <w:r w:rsidRPr="00BB555E">
              <w:rPr>
                <w:b/>
                <w:sz w:val="22"/>
                <w:szCs w:val="22"/>
              </w:rPr>
              <w:t>Alimony, Child Support, Foster Care Payments</w:t>
            </w:r>
          </w:p>
          <w:p w:rsidR="00567142" w:rsidRPr="00BB555E" w:rsidRDefault="00567142">
            <w:pPr>
              <w:pStyle w:val="a"/>
              <w:tabs>
                <w:tab w:val="left" w:pos="1080"/>
              </w:tabs>
              <w:ind w:left="0" w:firstLine="0"/>
              <w:rPr>
                <w:sz w:val="22"/>
                <w:szCs w:val="22"/>
              </w:rPr>
            </w:pPr>
          </w:p>
        </w:tc>
        <w:tc>
          <w:tcPr>
            <w:tcW w:w="7021" w:type="dxa"/>
          </w:tcPr>
          <w:p w:rsidR="00BB555E" w:rsidRDefault="00BB555E" w:rsidP="00FD39F2">
            <w:pPr>
              <w:pStyle w:val="a"/>
              <w:tabs>
                <w:tab w:val="left" w:pos="1080"/>
              </w:tabs>
              <w:ind w:left="0" w:firstLine="0"/>
              <w:rPr>
                <w:sz w:val="22"/>
                <w:szCs w:val="22"/>
              </w:rPr>
            </w:pPr>
          </w:p>
          <w:p w:rsidR="00567142" w:rsidRPr="00BB555E" w:rsidRDefault="00567142" w:rsidP="00FD39F2">
            <w:pPr>
              <w:pStyle w:val="a"/>
              <w:tabs>
                <w:tab w:val="left" w:pos="1080"/>
              </w:tabs>
              <w:ind w:left="0" w:firstLine="0"/>
              <w:rPr>
                <w:sz w:val="22"/>
                <w:szCs w:val="22"/>
              </w:rPr>
            </w:pPr>
            <w:r w:rsidRPr="00BB555E">
              <w:rPr>
                <w:sz w:val="22"/>
                <w:szCs w:val="22"/>
              </w:rPr>
              <w:t>Obtain copy of most recent payment statement, notices or orders. 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Written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t>Mail, fax or email verification of income request to child support enforcement agency, court liaison or other source. At a minimum, written verification must include: name of income source, income. Copy kept in client file.</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i/>
                <w:sz w:val="22"/>
                <w:szCs w:val="22"/>
              </w:rPr>
            </w:pPr>
            <w:r w:rsidRPr="00BB555E">
              <w:rPr>
                <w:i/>
                <w:sz w:val="22"/>
                <w:szCs w:val="22"/>
              </w:rPr>
              <w:t>OR Oral 3</w:t>
            </w:r>
            <w:r w:rsidRPr="00BB555E">
              <w:rPr>
                <w:i/>
                <w:sz w:val="22"/>
                <w:szCs w:val="22"/>
                <w:vertAlign w:val="superscript"/>
              </w:rPr>
              <w:t>rd</w:t>
            </w:r>
            <w:r w:rsidRPr="00BB555E">
              <w:rPr>
                <w:i/>
                <w:sz w:val="22"/>
                <w:szCs w:val="22"/>
              </w:rPr>
              <w:t xml:space="preserve"> Party Verification</w:t>
            </w:r>
          </w:p>
          <w:p w:rsidR="00567142" w:rsidRPr="00BB555E" w:rsidRDefault="00567142" w:rsidP="00FD39F2">
            <w:pPr>
              <w:pStyle w:val="a"/>
              <w:tabs>
                <w:tab w:val="left" w:pos="1080"/>
              </w:tabs>
              <w:ind w:left="0" w:firstLine="0"/>
              <w:rPr>
                <w:sz w:val="16"/>
                <w:szCs w:val="16"/>
              </w:rPr>
            </w:pPr>
          </w:p>
          <w:p w:rsidR="00567142" w:rsidRPr="00BB555E" w:rsidRDefault="00567142" w:rsidP="00FD39F2">
            <w:pPr>
              <w:pStyle w:val="a"/>
              <w:tabs>
                <w:tab w:val="left" w:pos="1080"/>
              </w:tabs>
              <w:ind w:left="0" w:firstLine="0"/>
              <w:rPr>
                <w:sz w:val="22"/>
                <w:szCs w:val="22"/>
              </w:rPr>
            </w:pPr>
            <w:r w:rsidRPr="00BB555E">
              <w:rPr>
                <w:sz w:val="22"/>
                <w:szCs w:val="22"/>
              </w:rPr>
              <w:lastRenderedPageBreak/>
              <w:t>Contact the source by phone or in person. At a minimum, oral verification must include: name of income source, income amount and be signed and dated by income source representative. Copy kept in client file.</w:t>
            </w:r>
          </w:p>
          <w:p w:rsidR="00567142" w:rsidRPr="00BB555E" w:rsidRDefault="00567142" w:rsidP="00FD39F2">
            <w:pPr>
              <w:pStyle w:val="a"/>
              <w:tabs>
                <w:tab w:val="left" w:pos="1080"/>
              </w:tabs>
              <w:ind w:left="0" w:firstLine="0"/>
              <w:rPr>
                <w:sz w:val="22"/>
                <w:szCs w:val="22"/>
              </w:rPr>
            </w:pPr>
          </w:p>
          <w:p w:rsidR="00567142" w:rsidRPr="00BB555E" w:rsidRDefault="00567142" w:rsidP="00FD39F2">
            <w:pPr>
              <w:pStyle w:val="a"/>
              <w:tabs>
                <w:tab w:val="left" w:pos="1080"/>
              </w:tabs>
              <w:ind w:left="0" w:firstLine="0"/>
              <w:rPr>
                <w:i/>
                <w:sz w:val="22"/>
                <w:szCs w:val="22"/>
              </w:rPr>
            </w:pPr>
            <w:r w:rsidRPr="00BB555E">
              <w:rPr>
                <w:i/>
                <w:sz w:val="22"/>
                <w:szCs w:val="22"/>
              </w:rPr>
              <w:t xml:space="preserve">OR Self Declaration </w:t>
            </w:r>
          </w:p>
          <w:p w:rsidR="00567142" w:rsidRPr="00BB555E" w:rsidRDefault="00567142" w:rsidP="00FD39F2">
            <w:pPr>
              <w:pStyle w:val="a"/>
              <w:tabs>
                <w:tab w:val="left" w:pos="1080"/>
              </w:tabs>
              <w:ind w:left="0" w:firstLine="0"/>
              <w:rPr>
                <w:sz w:val="16"/>
                <w:szCs w:val="16"/>
              </w:rPr>
            </w:pPr>
          </w:p>
          <w:p w:rsidR="00874691" w:rsidRPr="00BB555E" w:rsidRDefault="00567142" w:rsidP="00FD39F2">
            <w:pPr>
              <w:pStyle w:val="a"/>
              <w:tabs>
                <w:tab w:val="left" w:pos="1080"/>
              </w:tabs>
              <w:ind w:left="0" w:firstLine="0"/>
              <w:rPr>
                <w:sz w:val="22"/>
                <w:szCs w:val="22"/>
              </w:rPr>
            </w:pPr>
            <w:r w:rsidRPr="00BB555E">
              <w:rPr>
                <w:sz w:val="22"/>
                <w:szCs w:val="22"/>
              </w:rPr>
              <w:t>Obtain signed and dated self declaration from the client. At a minimum must include source of income, income amount and frequency and be signed. Copy kept in client file. Case manager must document attempts to obtain written and oral verification.</w:t>
            </w:r>
          </w:p>
        </w:tc>
      </w:tr>
      <w:tr w:rsidR="00874691" w:rsidRPr="00BB555E" w:rsidTr="00FD5915">
        <w:trPr>
          <w:jc w:val="center"/>
        </w:trPr>
        <w:tc>
          <w:tcPr>
            <w:tcW w:w="2283" w:type="dxa"/>
          </w:tcPr>
          <w:p w:rsidR="00BB555E" w:rsidRDefault="00BB555E" w:rsidP="00874691">
            <w:pPr>
              <w:rPr>
                <w:b/>
                <w:sz w:val="22"/>
                <w:szCs w:val="22"/>
              </w:rPr>
            </w:pPr>
          </w:p>
          <w:p w:rsidR="00874691" w:rsidRPr="00BB555E" w:rsidRDefault="00D34323" w:rsidP="00874691">
            <w:pPr>
              <w:rPr>
                <w:b/>
                <w:sz w:val="22"/>
                <w:szCs w:val="22"/>
              </w:rPr>
            </w:pPr>
            <w:r w:rsidRPr="00BB555E">
              <w:rPr>
                <w:b/>
                <w:sz w:val="22"/>
                <w:szCs w:val="22"/>
              </w:rPr>
              <w:t>Armed Forces Income</w:t>
            </w:r>
          </w:p>
        </w:tc>
        <w:tc>
          <w:tcPr>
            <w:tcW w:w="7021" w:type="dxa"/>
          </w:tcPr>
          <w:p w:rsidR="00BB555E" w:rsidRDefault="00BB555E" w:rsidP="00874691">
            <w:pPr>
              <w:pStyle w:val="Default"/>
              <w:rPr>
                <w:rFonts w:ascii="Times New Roman" w:hAnsi="Times New Roman" w:cs="Times New Roman"/>
                <w:sz w:val="22"/>
                <w:szCs w:val="22"/>
              </w:rPr>
            </w:pPr>
          </w:p>
          <w:p w:rsidR="00874691" w:rsidRPr="00FA6906" w:rsidRDefault="00D34323" w:rsidP="00874691">
            <w:pPr>
              <w:pStyle w:val="Default"/>
              <w:rPr>
                <w:rFonts w:ascii="Times New Roman" w:hAnsi="Times New Roman" w:cs="Times New Roman"/>
                <w:sz w:val="22"/>
                <w:szCs w:val="22"/>
              </w:rPr>
            </w:pPr>
            <w:r w:rsidRPr="00BB555E">
              <w:rPr>
                <w:rFonts w:ascii="Times New Roman" w:hAnsi="Times New Roman" w:cs="Times New Roman"/>
                <w:sz w:val="22"/>
                <w:szCs w:val="22"/>
              </w:rPr>
              <w:t xml:space="preserve">Copy of pay stubs, payment statement, or other government issued statement indicating income </w:t>
            </w:r>
            <w:r w:rsidRPr="00D97D51">
              <w:rPr>
                <w:rFonts w:ascii="Times New Roman" w:hAnsi="Times New Roman" w:cs="Times New Roman"/>
                <w:sz w:val="22"/>
                <w:szCs w:val="22"/>
              </w:rPr>
              <w:t>amount</w:t>
            </w:r>
            <w:r w:rsidR="00B83F1F">
              <w:rPr>
                <w:rFonts w:ascii="Times New Roman" w:hAnsi="Times New Roman" w:cs="Times New Roman"/>
                <w:sz w:val="22"/>
                <w:szCs w:val="22"/>
              </w:rPr>
              <w:t>.</w:t>
            </w:r>
            <w:r w:rsidR="00D97D51" w:rsidRPr="00FA6906">
              <w:rPr>
                <w:rFonts w:ascii="Times New Roman" w:hAnsi="Times New Roman" w:cs="Times New Roman"/>
                <w:sz w:val="22"/>
                <w:szCs w:val="22"/>
              </w:rPr>
              <w:t xml:space="preserve"> </w:t>
            </w:r>
          </w:p>
          <w:p w:rsidR="00874691" w:rsidRPr="00BB555E" w:rsidRDefault="00874691" w:rsidP="00874691">
            <w:pPr>
              <w:pStyle w:val="a"/>
              <w:tabs>
                <w:tab w:val="left" w:pos="1080"/>
              </w:tabs>
              <w:ind w:left="0" w:firstLine="0"/>
              <w:rPr>
                <w:sz w:val="16"/>
                <w:szCs w:val="16"/>
              </w:rPr>
            </w:pPr>
          </w:p>
          <w:p w:rsidR="00874691" w:rsidRPr="00BB555E" w:rsidRDefault="00874691" w:rsidP="00874691">
            <w:pPr>
              <w:pStyle w:val="a"/>
              <w:tabs>
                <w:tab w:val="left" w:pos="1080"/>
              </w:tabs>
              <w:ind w:left="0" w:firstLine="0"/>
              <w:rPr>
                <w:i/>
                <w:sz w:val="22"/>
                <w:szCs w:val="22"/>
              </w:rPr>
            </w:pPr>
            <w:r w:rsidRPr="00BB555E">
              <w:rPr>
                <w:i/>
                <w:sz w:val="22"/>
                <w:szCs w:val="22"/>
              </w:rPr>
              <w:t>OR Written 3</w:t>
            </w:r>
            <w:r w:rsidRPr="00BB555E">
              <w:rPr>
                <w:i/>
                <w:sz w:val="22"/>
                <w:szCs w:val="22"/>
                <w:vertAlign w:val="superscript"/>
              </w:rPr>
              <w:t>rd</w:t>
            </w:r>
            <w:r w:rsidRPr="00BB555E">
              <w:rPr>
                <w:i/>
                <w:sz w:val="22"/>
                <w:szCs w:val="22"/>
              </w:rPr>
              <w:t xml:space="preserve"> Party Verification</w:t>
            </w:r>
          </w:p>
          <w:p w:rsidR="00874691" w:rsidRPr="00BB555E" w:rsidRDefault="00874691" w:rsidP="00874691">
            <w:pPr>
              <w:pStyle w:val="a"/>
              <w:tabs>
                <w:tab w:val="left" w:pos="1080"/>
              </w:tabs>
              <w:ind w:left="0" w:firstLine="0"/>
              <w:rPr>
                <w:sz w:val="16"/>
                <w:szCs w:val="16"/>
              </w:rPr>
            </w:pPr>
          </w:p>
          <w:p w:rsidR="00874691" w:rsidRPr="00BB555E" w:rsidRDefault="00874691" w:rsidP="00874691">
            <w:pPr>
              <w:pStyle w:val="a"/>
              <w:tabs>
                <w:tab w:val="left" w:pos="1080"/>
              </w:tabs>
              <w:ind w:left="0" w:firstLine="0"/>
              <w:rPr>
                <w:sz w:val="22"/>
                <w:szCs w:val="22"/>
              </w:rPr>
            </w:pPr>
            <w:r w:rsidRPr="00423554">
              <w:rPr>
                <w:sz w:val="22"/>
                <w:szCs w:val="22"/>
              </w:rPr>
              <w:t>Mail, fax or email verification of</w:t>
            </w:r>
            <w:r w:rsidR="004A1396">
              <w:rPr>
                <w:sz w:val="22"/>
                <w:szCs w:val="22"/>
              </w:rPr>
              <w:t xml:space="preserve"> </w:t>
            </w:r>
            <w:r w:rsidR="00B83F1F" w:rsidRPr="00423554">
              <w:rPr>
                <w:sz w:val="22"/>
                <w:szCs w:val="22"/>
              </w:rPr>
              <w:t xml:space="preserve">income request directly </w:t>
            </w:r>
            <w:r w:rsidR="00B00DE8" w:rsidRPr="00423554">
              <w:rPr>
                <w:sz w:val="22"/>
                <w:szCs w:val="22"/>
              </w:rPr>
              <w:t>from</w:t>
            </w:r>
            <w:r w:rsidR="00B83F1F" w:rsidRPr="00423554">
              <w:rPr>
                <w:sz w:val="22"/>
                <w:szCs w:val="22"/>
              </w:rPr>
              <w:t xml:space="preserve"> the appropriate armed services representative</w:t>
            </w:r>
            <w:r w:rsidRPr="00BB555E">
              <w:rPr>
                <w:sz w:val="22"/>
                <w:szCs w:val="22"/>
              </w:rPr>
              <w:t>. At a minimum, written verification must include: name of income source, income. Copy kept in client file.</w:t>
            </w:r>
          </w:p>
          <w:p w:rsidR="00874691" w:rsidRPr="00BB555E" w:rsidRDefault="00874691" w:rsidP="00874691">
            <w:pPr>
              <w:pStyle w:val="a"/>
              <w:tabs>
                <w:tab w:val="left" w:pos="1080"/>
              </w:tabs>
              <w:ind w:left="0" w:firstLine="0"/>
              <w:rPr>
                <w:sz w:val="16"/>
                <w:szCs w:val="16"/>
              </w:rPr>
            </w:pPr>
          </w:p>
          <w:p w:rsidR="00874691" w:rsidRPr="00BB555E" w:rsidRDefault="00874691" w:rsidP="00874691">
            <w:pPr>
              <w:pStyle w:val="a"/>
              <w:tabs>
                <w:tab w:val="left" w:pos="1080"/>
              </w:tabs>
              <w:ind w:left="0" w:firstLine="0"/>
              <w:rPr>
                <w:i/>
                <w:sz w:val="22"/>
                <w:szCs w:val="22"/>
              </w:rPr>
            </w:pPr>
            <w:r w:rsidRPr="00BB555E">
              <w:rPr>
                <w:i/>
                <w:sz w:val="22"/>
                <w:szCs w:val="22"/>
              </w:rPr>
              <w:t>OR Oral 3</w:t>
            </w:r>
            <w:r w:rsidRPr="00BB555E">
              <w:rPr>
                <w:i/>
                <w:sz w:val="22"/>
                <w:szCs w:val="22"/>
                <w:vertAlign w:val="superscript"/>
              </w:rPr>
              <w:t>rd</w:t>
            </w:r>
            <w:r w:rsidRPr="00BB555E">
              <w:rPr>
                <w:i/>
                <w:sz w:val="22"/>
                <w:szCs w:val="22"/>
              </w:rPr>
              <w:t xml:space="preserve"> Party Verification</w:t>
            </w:r>
          </w:p>
          <w:p w:rsidR="00874691" w:rsidRPr="00BB555E" w:rsidRDefault="00874691" w:rsidP="00874691">
            <w:pPr>
              <w:pStyle w:val="a"/>
              <w:tabs>
                <w:tab w:val="left" w:pos="1080"/>
              </w:tabs>
              <w:ind w:left="0" w:firstLine="0"/>
              <w:rPr>
                <w:sz w:val="16"/>
                <w:szCs w:val="16"/>
              </w:rPr>
            </w:pPr>
          </w:p>
          <w:p w:rsidR="00874691" w:rsidRPr="00BB555E" w:rsidRDefault="00874691" w:rsidP="00874691">
            <w:pPr>
              <w:pStyle w:val="a"/>
              <w:tabs>
                <w:tab w:val="left" w:pos="1080"/>
              </w:tabs>
              <w:ind w:left="0" w:firstLine="0"/>
              <w:rPr>
                <w:sz w:val="22"/>
                <w:szCs w:val="22"/>
              </w:rPr>
            </w:pPr>
            <w:r w:rsidRPr="00BB555E">
              <w:rPr>
                <w:sz w:val="22"/>
                <w:szCs w:val="22"/>
              </w:rPr>
              <w:t>Contact the source by phone or in person. At a minimum, oral verification must include: name of income source, income amount and be signed and dated by income source representative. Copy kept in client file.</w:t>
            </w:r>
          </w:p>
          <w:p w:rsidR="00874691" w:rsidRPr="00BB555E" w:rsidRDefault="00874691" w:rsidP="00874691">
            <w:pPr>
              <w:pStyle w:val="a"/>
              <w:tabs>
                <w:tab w:val="left" w:pos="1080"/>
              </w:tabs>
              <w:ind w:left="0" w:firstLine="0"/>
              <w:rPr>
                <w:sz w:val="16"/>
                <w:szCs w:val="16"/>
              </w:rPr>
            </w:pPr>
          </w:p>
          <w:p w:rsidR="00874691" w:rsidRPr="00BB555E" w:rsidRDefault="00874691" w:rsidP="00874691">
            <w:pPr>
              <w:pStyle w:val="a"/>
              <w:tabs>
                <w:tab w:val="left" w:pos="1080"/>
              </w:tabs>
              <w:ind w:left="0" w:firstLine="0"/>
              <w:rPr>
                <w:i/>
                <w:sz w:val="22"/>
                <w:szCs w:val="22"/>
              </w:rPr>
            </w:pPr>
            <w:r w:rsidRPr="00BB555E">
              <w:rPr>
                <w:i/>
                <w:sz w:val="22"/>
                <w:szCs w:val="22"/>
              </w:rPr>
              <w:t xml:space="preserve">OR Self Declaration </w:t>
            </w:r>
          </w:p>
          <w:p w:rsidR="00874691" w:rsidRPr="00BB555E" w:rsidRDefault="00874691" w:rsidP="00874691">
            <w:pPr>
              <w:pStyle w:val="a"/>
              <w:tabs>
                <w:tab w:val="left" w:pos="1080"/>
              </w:tabs>
              <w:ind w:left="0" w:firstLine="0"/>
              <w:rPr>
                <w:sz w:val="16"/>
                <w:szCs w:val="16"/>
              </w:rPr>
            </w:pPr>
          </w:p>
          <w:p w:rsidR="00874691" w:rsidRPr="00BB555E" w:rsidRDefault="00874691" w:rsidP="00874691">
            <w:pPr>
              <w:pStyle w:val="a"/>
              <w:tabs>
                <w:tab w:val="left" w:pos="1080"/>
              </w:tabs>
              <w:ind w:left="0" w:firstLine="0"/>
              <w:rPr>
                <w:sz w:val="22"/>
                <w:szCs w:val="22"/>
              </w:rPr>
            </w:pPr>
            <w:r w:rsidRPr="00BB555E">
              <w:rPr>
                <w:sz w:val="22"/>
                <w:szCs w:val="22"/>
              </w:rPr>
              <w:t>Obtain signed and dated self declaration from the client. At a minimum must include source of income, income amount and frequency and be signed. Copy kept in client file. Case manager must document attempts to obtain written and oral verification.</w:t>
            </w:r>
          </w:p>
          <w:p w:rsidR="00874691" w:rsidRPr="00BB555E" w:rsidRDefault="00874691" w:rsidP="00874691">
            <w:pPr>
              <w:rPr>
                <w:sz w:val="22"/>
                <w:szCs w:val="22"/>
              </w:rPr>
            </w:pPr>
          </w:p>
        </w:tc>
      </w:tr>
    </w:tbl>
    <w:p w:rsidR="00FE4153" w:rsidRDefault="00FE4153" w:rsidP="007B3A0E">
      <w:pPr>
        <w:rPr>
          <w:rFonts w:ascii="Arial" w:hAnsi="Arial" w:cs="Arial"/>
          <w:b/>
          <w:sz w:val="20"/>
          <w:szCs w:val="20"/>
        </w:rPr>
      </w:pPr>
    </w:p>
    <w:p w:rsidR="00EB05A1" w:rsidRDefault="00EB05A1" w:rsidP="007B3A0E">
      <w:pPr>
        <w:rPr>
          <w:rFonts w:ascii="Arial" w:hAnsi="Arial" w:cs="Arial"/>
          <w:b/>
          <w:sz w:val="20"/>
          <w:szCs w:val="20"/>
        </w:rPr>
      </w:pPr>
    </w:p>
    <w:p w:rsidR="00FD5915" w:rsidRPr="00BB555E" w:rsidRDefault="0017538D" w:rsidP="00FD5915">
      <w:pPr>
        <w:shd w:val="clear" w:color="auto" w:fill="C6D9F1" w:themeFill="text2" w:themeFillTint="33"/>
        <w:rPr>
          <w:b/>
        </w:rPr>
      </w:pPr>
      <w:r w:rsidRPr="00BB555E">
        <w:rPr>
          <w:b/>
        </w:rPr>
        <w:t>Income Inclusions</w:t>
      </w:r>
    </w:p>
    <w:p w:rsidR="00FD5915" w:rsidRDefault="00FD5915" w:rsidP="007B3A0E">
      <w:pPr>
        <w:rPr>
          <w:rFonts w:ascii="Arial" w:hAnsi="Arial" w:cs="Arial"/>
          <w:sz w:val="20"/>
          <w:szCs w:val="20"/>
        </w:rPr>
      </w:pPr>
    </w:p>
    <w:p w:rsidR="0017538D" w:rsidRPr="00BB555E" w:rsidRDefault="00FD5915" w:rsidP="007B3A0E">
      <w:pPr>
        <w:rPr>
          <w:sz w:val="22"/>
          <w:szCs w:val="22"/>
        </w:rPr>
      </w:pPr>
      <w:r w:rsidRPr="00BB555E">
        <w:rPr>
          <w:sz w:val="22"/>
          <w:szCs w:val="22"/>
        </w:rPr>
        <w:t>T</w:t>
      </w:r>
      <w:r w:rsidR="0017538D" w:rsidRPr="00BB555E">
        <w:rPr>
          <w:sz w:val="22"/>
          <w:szCs w:val="22"/>
        </w:rPr>
        <w:t>his table presents CHG income inclusions. The following types of income must be counted when calculating gross income for purposes of determining CHG eligibility.</w:t>
      </w:r>
    </w:p>
    <w:p w:rsidR="0017538D" w:rsidRPr="00BB555E" w:rsidRDefault="0017538D">
      <w:pPr>
        <w:rPr>
          <w:sz w:val="22"/>
          <w:szCs w:val="22"/>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6678"/>
      </w:tblGrid>
      <w:tr w:rsidR="00FD5915" w:rsidRPr="00BB555E" w:rsidTr="002455BA">
        <w:trPr>
          <w:jc w:val="center"/>
        </w:trPr>
        <w:tc>
          <w:tcPr>
            <w:tcW w:w="2898" w:type="dxa"/>
            <w:shd w:val="clear" w:color="auto" w:fill="000000" w:themeFill="text1"/>
          </w:tcPr>
          <w:p w:rsidR="00FD5915" w:rsidRPr="00BB555E" w:rsidRDefault="00FD5915" w:rsidP="00ED2020">
            <w:pPr>
              <w:spacing w:before="60" w:after="60"/>
              <w:rPr>
                <w:b/>
                <w:color w:val="FFFFFF" w:themeColor="background1"/>
                <w:sz w:val="22"/>
                <w:szCs w:val="22"/>
              </w:rPr>
            </w:pPr>
            <w:r w:rsidRPr="00BB555E">
              <w:rPr>
                <w:b/>
                <w:color w:val="FFFFFF" w:themeColor="background1"/>
                <w:sz w:val="22"/>
                <w:szCs w:val="22"/>
              </w:rPr>
              <w:t>General Category</w:t>
            </w:r>
          </w:p>
        </w:tc>
        <w:tc>
          <w:tcPr>
            <w:tcW w:w="6678" w:type="dxa"/>
            <w:shd w:val="clear" w:color="auto" w:fill="000000" w:themeFill="text1"/>
          </w:tcPr>
          <w:p w:rsidR="00FD5915" w:rsidRPr="00BB555E" w:rsidRDefault="002455BA" w:rsidP="00ED2020">
            <w:pPr>
              <w:pStyle w:val="Default"/>
              <w:spacing w:before="60" w:after="60"/>
              <w:rPr>
                <w:rFonts w:ascii="Times New Roman" w:hAnsi="Times New Roman" w:cs="Times New Roman"/>
                <w:b/>
                <w:color w:val="FFFFFF" w:themeColor="background1"/>
                <w:sz w:val="22"/>
                <w:szCs w:val="22"/>
              </w:rPr>
            </w:pPr>
            <w:r w:rsidRPr="00BB555E">
              <w:rPr>
                <w:rFonts w:ascii="Times New Roman" w:hAnsi="Times New Roman" w:cs="Times New Roman"/>
                <w:b/>
                <w:color w:val="FFFFFF" w:themeColor="background1"/>
                <w:sz w:val="22"/>
                <w:szCs w:val="22"/>
              </w:rPr>
              <w:t>Description</w:t>
            </w:r>
          </w:p>
        </w:tc>
      </w:tr>
      <w:tr w:rsidR="0017538D" w:rsidRPr="00BB555E" w:rsidTr="00FD5915">
        <w:trPr>
          <w:jc w:val="center"/>
        </w:trPr>
        <w:tc>
          <w:tcPr>
            <w:tcW w:w="2898" w:type="dxa"/>
          </w:tcPr>
          <w:p w:rsidR="0017538D" w:rsidRPr="00BB555E" w:rsidRDefault="0017538D">
            <w:pPr>
              <w:rPr>
                <w:sz w:val="22"/>
                <w:szCs w:val="22"/>
              </w:rPr>
            </w:pPr>
            <w:r w:rsidRPr="00BB555E">
              <w:rPr>
                <w:sz w:val="22"/>
                <w:szCs w:val="22"/>
              </w:rPr>
              <w:t>1. Earned Income</w:t>
            </w:r>
          </w:p>
        </w:tc>
        <w:tc>
          <w:tcPr>
            <w:tcW w:w="6678" w:type="dxa"/>
          </w:tcPr>
          <w:p w:rsidR="0017538D" w:rsidRPr="00BB555E" w:rsidRDefault="0017538D">
            <w:pPr>
              <w:pStyle w:val="Default"/>
              <w:rPr>
                <w:rFonts w:ascii="Times New Roman" w:hAnsi="Times New Roman" w:cs="Times New Roman"/>
                <w:sz w:val="22"/>
                <w:szCs w:val="22"/>
              </w:rPr>
            </w:pPr>
            <w:r w:rsidRPr="00BB555E">
              <w:rPr>
                <w:rFonts w:ascii="Times New Roman" w:hAnsi="Times New Roman" w:cs="Times New Roman"/>
                <w:sz w:val="22"/>
                <w:szCs w:val="22"/>
              </w:rPr>
              <w:t xml:space="preserve">The full amount of gross income earned before taxes and deductions. </w:t>
            </w:r>
          </w:p>
        </w:tc>
      </w:tr>
      <w:tr w:rsidR="0017538D" w:rsidRPr="00BB555E" w:rsidTr="00FD5915">
        <w:trPr>
          <w:jc w:val="center"/>
        </w:trPr>
        <w:tc>
          <w:tcPr>
            <w:tcW w:w="2898" w:type="dxa"/>
          </w:tcPr>
          <w:p w:rsidR="0017538D" w:rsidRPr="00BB555E" w:rsidRDefault="0017538D">
            <w:pPr>
              <w:rPr>
                <w:sz w:val="22"/>
                <w:szCs w:val="22"/>
              </w:rPr>
            </w:pPr>
            <w:r w:rsidRPr="00BB555E">
              <w:rPr>
                <w:sz w:val="22"/>
                <w:szCs w:val="22"/>
              </w:rPr>
              <w:t>2. Self Employment/Business Income</w:t>
            </w:r>
          </w:p>
        </w:tc>
        <w:tc>
          <w:tcPr>
            <w:tcW w:w="6678" w:type="dxa"/>
          </w:tcPr>
          <w:p w:rsidR="0017538D" w:rsidRPr="00BB555E" w:rsidRDefault="0017538D">
            <w:pPr>
              <w:rPr>
                <w:sz w:val="22"/>
                <w:szCs w:val="22"/>
              </w:rPr>
            </w:pPr>
            <w:r w:rsidRPr="00BB555E">
              <w:rPr>
                <w:sz w:val="22"/>
                <w:szCs w:val="22"/>
              </w:rPr>
              <w:t>The net income earned from the operation of a business, i.e., total revenue minus business operating expenses. This also includes any withdrawals of cash from the business or profession for your personal use.</w:t>
            </w:r>
          </w:p>
        </w:tc>
      </w:tr>
      <w:tr w:rsidR="0017538D" w:rsidRPr="00BB555E" w:rsidTr="00FD5915">
        <w:trPr>
          <w:jc w:val="center"/>
        </w:trPr>
        <w:tc>
          <w:tcPr>
            <w:tcW w:w="2898" w:type="dxa"/>
            <w:vAlign w:val="bottom"/>
          </w:tcPr>
          <w:p w:rsidR="0017538D" w:rsidRPr="00BB555E" w:rsidRDefault="0017538D">
            <w:pPr>
              <w:pStyle w:val="Default"/>
              <w:rPr>
                <w:rFonts w:ascii="Times New Roman" w:hAnsi="Times New Roman" w:cs="Times New Roman"/>
                <w:sz w:val="22"/>
                <w:szCs w:val="22"/>
              </w:rPr>
            </w:pPr>
            <w:r w:rsidRPr="00BB555E">
              <w:rPr>
                <w:rFonts w:ascii="Times New Roman" w:hAnsi="Times New Roman" w:cs="Times New Roman"/>
                <w:sz w:val="22"/>
                <w:szCs w:val="22"/>
              </w:rPr>
              <w:t xml:space="preserve">3. Interest &amp; Dividend Income </w:t>
            </w:r>
          </w:p>
        </w:tc>
        <w:tc>
          <w:tcPr>
            <w:tcW w:w="6678" w:type="dxa"/>
          </w:tcPr>
          <w:p w:rsidR="0017538D" w:rsidRPr="00BB555E" w:rsidRDefault="0017538D">
            <w:pPr>
              <w:rPr>
                <w:sz w:val="22"/>
                <w:szCs w:val="22"/>
              </w:rPr>
            </w:pPr>
            <w:r w:rsidRPr="00BB555E">
              <w:rPr>
                <w:sz w:val="22"/>
                <w:szCs w:val="22"/>
              </w:rPr>
              <w:t>Monthly interest and dividend income credited to an applicant’s bank account and available for use.</w:t>
            </w:r>
          </w:p>
        </w:tc>
      </w:tr>
      <w:tr w:rsidR="0017538D" w:rsidRPr="00BB555E" w:rsidTr="00FD5915">
        <w:trPr>
          <w:jc w:val="center"/>
        </w:trPr>
        <w:tc>
          <w:tcPr>
            <w:tcW w:w="2898" w:type="dxa"/>
          </w:tcPr>
          <w:p w:rsidR="0017538D" w:rsidRPr="00BB555E" w:rsidRDefault="0017538D">
            <w:pPr>
              <w:rPr>
                <w:sz w:val="22"/>
                <w:szCs w:val="22"/>
              </w:rPr>
            </w:pPr>
            <w:r w:rsidRPr="00BB555E">
              <w:rPr>
                <w:sz w:val="22"/>
                <w:szCs w:val="22"/>
              </w:rPr>
              <w:t>4. Pension/Retirement Income</w:t>
            </w:r>
          </w:p>
        </w:tc>
        <w:tc>
          <w:tcPr>
            <w:tcW w:w="6678" w:type="dxa"/>
          </w:tcPr>
          <w:p w:rsidR="0017538D" w:rsidRPr="00BB555E" w:rsidRDefault="0017538D">
            <w:pPr>
              <w:pStyle w:val="Default"/>
              <w:rPr>
                <w:rFonts w:ascii="Times New Roman" w:hAnsi="Times New Roman" w:cs="Times New Roman"/>
                <w:sz w:val="22"/>
                <w:szCs w:val="22"/>
              </w:rPr>
            </w:pPr>
            <w:r w:rsidRPr="00BB555E">
              <w:rPr>
                <w:rFonts w:ascii="Times New Roman" w:hAnsi="Times New Roman" w:cs="Times New Roman"/>
                <w:sz w:val="22"/>
                <w:szCs w:val="22"/>
              </w:rPr>
              <w:t>The monthly payment amount received from Social Security, annuities, retirement funds, pensions, disability and other similar types of periodic payments.</w:t>
            </w:r>
          </w:p>
        </w:tc>
      </w:tr>
      <w:tr w:rsidR="0017538D" w:rsidRPr="00BB555E" w:rsidTr="00FD5915">
        <w:trPr>
          <w:jc w:val="center"/>
        </w:trPr>
        <w:tc>
          <w:tcPr>
            <w:tcW w:w="2898" w:type="dxa"/>
          </w:tcPr>
          <w:p w:rsidR="0017538D" w:rsidRPr="00BB555E" w:rsidRDefault="0017538D">
            <w:pPr>
              <w:rPr>
                <w:sz w:val="22"/>
                <w:szCs w:val="22"/>
              </w:rPr>
            </w:pPr>
            <w:r w:rsidRPr="00BB555E">
              <w:rPr>
                <w:sz w:val="22"/>
                <w:szCs w:val="22"/>
              </w:rPr>
              <w:t xml:space="preserve">5. Unemployment &amp; </w:t>
            </w:r>
            <w:r w:rsidRPr="00BB555E">
              <w:rPr>
                <w:sz w:val="22"/>
                <w:szCs w:val="22"/>
              </w:rPr>
              <w:lastRenderedPageBreak/>
              <w:t>Disability Income</w:t>
            </w:r>
          </w:p>
        </w:tc>
        <w:tc>
          <w:tcPr>
            <w:tcW w:w="6678" w:type="dxa"/>
          </w:tcPr>
          <w:p w:rsidR="0017538D" w:rsidRPr="00BB555E" w:rsidRDefault="0017538D">
            <w:pPr>
              <w:rPr>
                <w:sz w:val="22"/>
                <w:szCs w:val="22"/>
              </w:rPr>
            </w:pPr>
            <w:r w:rsidRPr="00BB555E">
              <w:rPr>
                <w:sz w:val="22"/>
                <w:szCs w:val="22"/>
              </w:rPr>
              <w:lastRenderedPageBreak/>
              <w:t xml:space="preserve">Any monthly payments in lieu of earnings, such as unemployment, </w:t>
            </w:r>
            <w:r w:rsidRPr="00BB555E">
              <w:rPr>
                <w:sz w:val="22"/>
                <w:szCs w:val="22"/>
              </w:rPr>
              <w:lastRenderedPageBreak/>
              <w:t>disability compensation, SSI, SSDI, and worker's compensation.</w:t>
            </w:r>
          </w:p>
        </w:tc>
      </w:tr>
      <w:tr w:rsidR="0017538D" w:rsidRPr="00BB555E" w:rsidTr="00FD5915">
        <w:trPr>
          <w:jc w:val="center"/>
        </w:trPr>
        <w:tc>
          <w:tcPr>
            <w:tcW w:w="2898" w:type="dxa"/>
          </w:tcPr>
          <w:p w:rsidR="0017538D" w:rsidRPr="00BB555E" w:rsidRDefault="0017538D">
            <w:pPr>
              <w:rPr>
                <w:sz w:val="22"/>
                <w:szCs w:val="22"/>
              </w:rPr>
            </w:pPr>
            <w:r w:rsidRPr="00BB555E">
              <w:rPr>
                <w:sz w:val="22"/>
                <w:szCs w:val="22"/>
              </w:rPr>
              <w:lastRenderedPageBreak/>
              <w:t>6. TANF/Public Assistance</w:t>
            </w:r>
          </w:p>
        </w:tc>
        <w:tc>
          <w:tcPr>
            <w:tcW w:w="6678" w:type="dxa"/>
          </w:tcPr>
          <w:p w:rsidR="0017538D" w:rsidRPr="00BB555E" w:rsidRDefault="0017538D">
            <w:pPr>
              <w:rPr>
                <w:sz w:val="22"/>
                <w:szCs w:val="22"/>
              </w:rPr>
            </w:pPr>
            <w:r w:rsidRPr="00BB555E">
              <w:rPr>
                <w:sz w:val="22"/>
                <w:szCs w:val="22"/>
              </w:rPr>
              <w:t>Monthly income from government agencies excluding amounts designated for shelter, and utilities, WIC, food stamps, and childcare.</w:t>
            </w:r>
          </w:p>
        </w:tc>
      </w:tr>
      <w:tr w:rsidR="0017538D" w:rsidRPr="00BB555E" w:rsidTr="00FD5915">
        <w:trPr>
          <w:jc w:val="center"/>
        </w:trPr>
        <w:tc>
          <w:tcPr>
            <w:tcW w:w="2898" w:type="dxa"/>
          </w:tcPr>
          <w:p w:rsidR="0017538D" w:rsidRPr="00BB555E" w:rsidRDefault="0017538D">
            <w:pPr>
              <w:rPr>
                <w:sz w:val="22"/>
                <w:szCs w:val="22"/>
              </w:rPr>
            </w:pPr>
            <w:r w:rsidRPr="00BB555E">
              <w:rPr>
                <w:sz w:val="22"/>
                <w:szCs w:val="22"/>
              </w:rPr>
              <w:t>7. Alimony, Child Support and Foster Care Income</w:t>
            </w:r>
          </w:p>
        </w:tc>
        <w:tc>
          <w:tcPr>
            <w:tcW w:w="6678" w:type="dxa"/>
          </w:tcPr>
          <w:p w:rsidR="0017538D" w:rsidRPr="00BB555E" w:rsidRDefault="0017538D">
            <w:pPr>
              <w:pStyle w:val="Default"/>
              <w:rPr>
                <w:rFonts w:ascii="Times New Roman" w:hAnsi="Times New Roman" w:cs="Times New Roman"/>
                <w:sz w:val="22"/>
                <w:szCs w:val="22"/>
              </w:rPr>
            </w:pPr>
            <w:r w:rsidRPr="00BB555E">
              <w:rPr>
                <w:rFonts w:ascii="Times New Roman" w:hAnsi="Times New Roman" w:cs="Times New Roman"/>
                <w:sz w:val="22"/>
                <w:szCs w:val="22"/>
              </w:rPr>
              <w:t>Alimony, child support and foster care payments received from organizations or from persons not residing in the dwelling.</w:t>
            </w:r>
          </w:p>
        </w:tc>
      </w:tr>
      <w:tr w:rsidR="0017538D" w:rsidRPr="00BB555E" w:rsidTr="00FD5915">
        <w:trPr>
          <w:jc w:val="center"/>
        </w:trPr>
        <w:tc>
          <w:tcPr>
            <w:tcW w:w="2898" w:type="dxa"/>
          </w:tcPr>
          <w:p w:rsidR="0017538D" w:rsidRPr="00BB555E" w:rsidRDefault="0017538D">
            <w:pPr>
              <w:rPr>
                <w:sz w:val="22"/>
                <w:szCs w:val="22"/>
              </w:rPr>
            </w:pPr>
            <w:r w:rsidRPr="00BB555E">
              <w:rPr>
                <w:sz w:val="22"/>
                <w:szCs w:val="22"/>
              </w:rPr>
              <w:t>8. Armed Forces Income</w:t>
            </w:r>
          </w:p>
        </w:tc>
        <w:tc>
          <w:tcPr>
            <w:tcW w:w="6678" w:type="dxa"/>
          </w:tcPr>
          <w:p w:rsidR="0017538D" w:rsidRPr="00BB555E" w:rsidRDefault="0017538D">
            <w:pPr>
              <w:rPr>
                <w:sz w:val="22"/>
                <w:szCs w:val="22"/>
              </w:rPr>
            </w:pPr>
            <w:r w:rsidRPr="00BB555E">
              <w:rPr>
                <w:sz w:val="22"/>
                <w:szCs w:val="22"/>
              </w:rPr>
              <w:t>All basic pay, special day and allowances of a member of the Armed Forces excluding special pay for exposure to hostile fire.</w:t>
            </w:r>
          </w:p>
        </w:tc>
      </w:tr>
    </w:tbl>
    <w:p w:rsidR="0017538D" w:rsidRPr="00BB555E" w:rsidRDefault="0017538D">
      <w:pPr>
        <w:rPr>
          <w:sz w:val="22"/>
          <w:szCs w:val="22"/>
        </w:rPr>
      </w:pPr>
    </w:p>
    <w:p w:rsidR="00FD5915" w:rsidRPr="00BB555E" w:rsidRDefault="0017538D" w:rsidP="00FD5915">
      <w:pPr>
        <w:shd w:val="clear" w:color="auto" w:fill="C6D9F1" w:themeFill="text2" w:themeFillTint="33"/>
        <w:rPr>
          <w:b/>
          <w:bCs/>
        </w:rPr>
      </w:pPr>
      <w:r w:rsidRPr="00BB555E">
        <w:rPr>
          <w:b/>
          <w:bCs/>
        </w:rPr>
        <w:t>Income Exclusions</w:t>
      </w:r>
    </w:p>
    <w:p w:rsidR="00FD5915" w:rsidRPr="00BB555E" w:rsidRDefault="00FD5915">
      <w:pPr>
        <w:rPr>
          <w:sz w:val="22"/>
          <w:szCs w:val="22"/>
        </w:rPr>
      </w:pPr>
    </w:p>
    <w:p w:rsidR="0017538D" w:rsidRPr="00BB555E" w:rsidRDefault="00FD5915">
      <w:pPr>
        <w:rPr>
          <w:sz w:val="22"/>
          <w:szCs w:val="22"/>
        </w:rPr>
      </w:pPr>
      <w:r w:rsidRPr="00BB555E">
        <w:rPr>
          <w:sz w:val="22"/>
          <w:szCs w:val="22"/>
        </w:rPr>
        <w:t>T</w:t>
      </w:r>
      <w:r w:rsidR="0017538D" w:rsidRPr="00BB555E">
        <w:rPr>
          <w:sz w:val="22"/>
          <w:szCs w:val="22"/>
        </w:rPr>
        <w:t>his table presents CHG income exclusions. The following types of income are not counted when calculating gross income for purposes of determining CHG eligibility:</w:t>
      </w:r>
    </w:p>
    <w:p w:rsidR="0017538D" w:rsidRPr="00BB555E" w:rsidRDefault="0017538D">
      <w:pPr>
        <w:rPr>
          <w:sz w:val="22"/>
          <w:szCs w:val="22"/>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6678"/>
      </w:tblGrid>
      <w:tr w:rsidR="002455BA" w:rsidRPr="00BB555E" w:rsidTr="002455BA">
        <w:trPr>
          <w:jc w:val="center"/>
        </w:trPr>
        <w:tc>
          <w:tcPr>
            <w:tcW w:w="2898" w:type="dxa"/>
            <w:shd w:val="clear" w:color="auto" w:fill="000000" w:themeFill="text1"/>
          </w:tcPr>
          <w:p w:rsidR="002455BA" w:rsidRPr="00BB555E" w:rsidRDefault="002455BA" w:rsidP="00ED2020">
            <w:pPr>
              <w:spacing w:before="60" w:after="60"/>
              <w:rPr>
                <w:b/>
                <w:sz w:val="22"/>
                <w:szCs w:val="22"/>
              </w:rPr>
            </w:pPr>
            <w:r w:rsidRPr="00BB555E">
              <w:rPr>
                <w:b/>
                <w:sz w:val="22"/>
                <w:szCs w:val="22"/>
              </w:rPr>
              <w:t>General Category</w:t>
            </w:r>
          </w:p>
        </w:tc>
        <w:tc>
          <w:tcPr>
            <w:tcW w:w="6678" w:type="dxa"/>
            <w:shd w:val="clear" w:color="auto" w:fill="000000" w:themeFill="text1"/>
          </w:tcPr>
          <w:p w:rsidR="002455BA" w:rsidRPr="00BB555E" w:rsidRDefault="002455BA" w:rsidP="00ED2020">
            <w:pPr>
              <w:spacing w:before="60" w:after="60"/>
              <w:rPr>
                <w:b/>
                <w:color w:val="FFFFFF" w:themeColor="background1"/>
                <w:sz w:val="22"/>
                <w:szCs w:val="22"/>
              </w:rPr>
            </w:pPr>
            <w:r w:rsidRPr="00BB555E">
              <w:rPr>
                <w:b/>
                <w:color w:val="FFFFFF" w:themeColor="background1"/>
                <w:sz w:val="22"/>
                <w:szCs w:val="22"/>
              </w:rPr>
              <w:t>Description</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1. Income of Children</w:t>
            </w:r>
          </w:p>
        </w:tc>
        <w:tc>
          <w:tcPr>
            <w:tcW w:w="6678" w:type="dxa"/>
          </w:tcPr>
          <w:p w:rsidR="0017538D" w:rsidRPr="00BB555E" w:rsidRDefault="0017538D">
            <w:pPr>
              <w:rPr>
                <w:sz w:val="22"/>
                <w:szCs w:val="22"/>
              </w:rPr>
            </w:pPr>
            <w:r w:rsidRPr="00BB555E">
              <w:rPr>
                <w:sz w:val="22"/>
                <w:szCs w:val="22"/>
              </w:rPr>
              <w:t>Income from employment of children (including foster children) under the age of 18 years.</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2. Inheritance and Insurance Income</w:t>
            </w:r>
          </w:p>
        </w:tc>
        <w:tc>
          <w:tcPr>
            <w:tcW w:w="6678" w:type="dxa"/>
          </w:tcPr>
          <w:p w:rsidR="0017538D" w:rsidRPr="00BB555E" w:rsidRDefault="0017538D">
            <w:pPr>
              <w:rPr>
                <w:sz w:val="22"/>
                <w:szCs w:val="22"/>
              </w:rPr>
            </w:pPr>
            <w:r w:rsidRPr="00BB555E">
              <w:rPr>
                <w:sz w:val="22"/>
                <w:szCs w:val="22"/>
              </w:rPr>
              <w:t>Lump-sum additions to family assets, such as inheritances, insurance payments (including payments under health and accident insurance and worker's compensation), capital gains and settlement for personal or property losses (except as provided in number 5 of Income Inclusions).</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3. Medical Expense Reimbursements</w:t>
            </w:r>
          </w:p>
        </w:tc>
        <w:tc>
          <w:tcPr>
            <w:tcW w:w="6678" w:type="dxa"/>
          </w:tcPr>
          <w:p w:rsidR="0017538D" w:rsidRPr="00BB555E" w:rsidRDefault="0017538D">
            <w:pPr>
              <w:rPr>
                <w:sz w:val="22"/>
                <w:szCs w:val="22"/>
              </w:rPr>
            </w:pPr>
            <w:r w:rsidRPr="00BB555E">
              <w:rPr>
                <w:sz w:val="22"/>
                <w:szCs w:val="22"/>
              </w:rPr>
              <w:t>Amounts received by the family that are specifically for, or in reimbursement of, the cost of medical expenses for any family member.</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4. Income of Live-in Aides</w:t>
            </w:r>
          </w:p>
        </w:tc>
        <w:tc>
          <w:tcPr>
            <w:tcW w:w="6678" w:type="dxa"/>
          </w:tcPr>
          <w:p w:rsidR="0017538D" w:rsidRPr="00BB555E" w:rsidRDefault="0017538D">
            <w:pPr>
              <w:pStyle w:val="Default"/>
              <w:rPr>
                <w:rFonts w:ascii="Times New Roman" w:hAnsi="Times New Roman" w:cs="Times New Roman"/>
                <w:sz w:val="22"/>
                <w:szCs w:val="22"/>
              </w:rPr>
            </w:pPr>
            <w:r w:rsidRPr="00BB555E">
              <w:rPr>
                <w:rFonts w:ascii="Times New Roman" w:hAnsi="Times New Roman" w:cs="Times New Roman"/>
                <w:sz w:val="22"/>
                <w:szCs w:val="22"/>
              </w:rPr>
              <w:t xml:space="preserve">Income of a live-in aide (as defined in 24 CFR 5.403). </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5. Disabled Persons</w:t>
            </w:r>
          </w:p>
        </w:tc>
        <w:tc>
          <w:tcPr>
            <w:tcW w:w="6678" w:type="dxa"/>
          </w:tcPr>
          <w:p w:rsidR="0017538D" w:rsidRPr="00BB555E" w:rsidRDefault="0017538D">
            <w:pPr>
              <w:rPr>
                <w:sz w:val="22"/>
                <w:szCs w:val="22"/>
              </w:rPr>
            </w:pPr>
            <w:r w:rsidRPr="00BB555E">
              <w:rPr>
                <w:sz w:val="22"/>
                <w:szCs w:val="22"/>
              </w:rPr>
              <w:t>Certain increases in income of a disabled member of qualified families residing in HOME-assisted housing or receiving HOME tenant-based rental assistance (24 CFR 5.671(a)).</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6. Student Financial Aid</w:t>
            </w:r>
          </w:p>
        </w:tc>
        <w:tc>
          <w:tcPr>
            <w:tcW w:w="6678" w:type="dxa"/>
          </w:tcPr>
          <w:p w:rsidR="0017538D" w:rsidRPr="00BB555E" w:rsidRDefault="0017538D">
            <w:pPr>
              <w:rPr>
                <w:sz w:val="22"/>
                <w:szCs w:val="22"/>
              </w:rPr>
            </w:pPr>
            <w:r w:rsidRPr="00BB555E">
              <w:rPr>
                <w:sz w:val="22"/>
                <w:szCs w:val="22"/>
              </w:rPr>
              <w:t>The full amount of student financial assistance paid directly to the student or to the educational institution.</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7. Armed Forces Hostile Fire Pay</w:t>
            </w:r>
          </w:p>
        </w:tc>
        <w:tc>
          <w:tcPr>
            <w:tcW w:w="6678" w:type="dxa"/>
          </w:tcPr>
          <w:p w:rsidR="0017538D" w:rsidRPr="00BB555E" w:rsidRDefault="0017538D">
            <w:pPr>
              <w:pStyle w:val="Default"/>
              <w:rPr>
                <w:rFonts w:ascii="Times New Roman" w:hAnsi="Times New Roman" w:cs="Times New Roman"/>
                <w:sz w:val="22"/>
                <w:szCs w:val="22"/>
              </w:rPr>
            </w:pPr>
            <w:r w:rsidRPr="00BB555E">
              <w:rPr>
                <w:rFonts w:ascii="Times New Roman" w:hAnsi="Times New Roman" w:cs="Times New Roman"/>
                <w:sz w:val="22"/>
                <w:szCs w:val="22"/>
              </w:rPr>
              <w:t xml:space="preserve">The special pay to a family member serving in the Armed Forces who is exposed to hostile fire. </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8. Self-Sufficiency Program Income</w:t>
            </w:r>
          </w:p>
        </w:tc>
        <w:tc>
          <w:tcPr>
            <w:tcW w:w="6678" w:type="dxa"/>
          </w:tcPr>
          <w:p w:rsidR="0017538D" w:rsidRPr="00BB555E" w:rsidRDefault="0017538D" w:rsidP="008A0A02">
            <w:pPr>
              <w:rPr>
                <w:sz w:val="22"/>
                <w:szCs w:val="22"/>
              </w:rPr>
            </w:pPr>
            <w:r w:rsidRPr="00BB555E">
              <w:rPr>
                <w:sz w:val="22"/>
                <w:szCs w:val="22"/>
              </w:rPr>
              <w:t>a</w:t>
            </w:r>
            <w:r w:rsidR="008A0A02" w:rsidRPr="00BB555E">
              <w:rPr>
                <w:sz w:val="22"/>
                <w:szCs w:val="22"/>
              </w:rPr>
              <w:t>)</w:t>
            </w:r>
            <w:r w:rsidRPr="00BB555E">
              <w:rPr>
                <w:sz w:val="22"/>
                <w:szCs w:val="22"/>
              </w:rPr>
              <w:t xml:space="preserve"> Amounts received under training programs funded by HUD. </w:t>
            </w:r>
            <w:r w:rsidR="008A0A02" w:rsidRPr="00BB555E">
              <w:rPr>
                <w:sz w:val="22"/>
                <w:szCs w:val="22"/>
              </w:rPr>
              <w:t xml:space="preserve">              b)</w:t>
            </w:r>
            <w:r w:rsidRPr="00BB555E">
              <w:rPr>
                <w:sz w:val="22"/>
                <w:szCs w:val="22"/>
              </w:rPr>
              <w:t xml:space="preserve"> Amounts received by a person with a disability that are disregarded for a limited time for purposes of Supplemental Security Income eligibility and benefits because they are set side for use under a Plan to Attain Self-Sufficiency (PASS). </w:t>
            </w:r>
            <w:r w:rsidR="008A0A02" w:rsidRPr="00BB555E">
              <w:rPr>
                <w:sz w:val="22"/>
                <w:szCs w:val="22"/>
              </w:rPr>
              <w:t>c)</w:t>
            </w:r>
            <w:r w:rsidRPr="00BB555E">
              <w:rPr>
                <w:sz w:val="22"/>
                <w:szCs w:val="22"/>
              </w:rPr>
              <w:t xml:space="preserve"> Amounts received by a participant in other publicly assisted programs that are specifically for, or in reimbursement of, out-of-pocket expenses incurred (special equipment, clothing, transportation, childcare, etc.) and which are made solely to allow participation in a specific program. d</w:t>
            </w:r>
            <w:r w:rsidR="008A0A02" w:rsidRPr="00BB555E">
              <w:rPr>
                <w:sz w:val="22"/>
                <w:szCs w:val="22"/>
              </w:rPr>
              <w:t>)</w:t>
            </w:r>
            <w:r w:rsidRPr="00BB555E">
              <w:rPr>
                <w:sz w:val="22"/>
                <w:szCs w:val="22"/>
              </w:rPr>
              <w:t xml:space="preserve"> Amounts received under a resident service stipend. A resident service stipend is a modest amount (not to exceed $200 per month) received by a resident for performing a service for the PHA or owner, on a part-time basis, that enhances the quality of life in the development. Such services may include, but are not limited to, fire patrol, hall monitoring, lawn maintenance, resident initiatives coordination, and serving as a member of the PHA's governing board. No resident may receive more than one such stipend during the same period of time. </w:t>
            </w:r>
            <w:r w:rsidR="008A0A02" w:rsidRPr="00BB555E">
              <w:rPr>
                <w:sz w:val="22"/>
                <w:szCs w:val="22"/>
              </w:rPr>
              <w:t>e)</w:t>
            </w:r>
            <w:r w:rsidRPr="00BB555E">
              <w:rPr>
                <w:sz w:val="22"/>
                <w:szCs w:val="22"/>
              </w:rPr>
              <w:t xml:space="preserve"> Incremental earnings and benefits resulting to any family member from participation in qualifying state or local employment training programs (including training not affiliated with a local government) and training of a family member as resident management staff. Amounts excluded by this provision must be received </w:t>
            </w:r>
            <w:r w:rsidRPr="00BB555E">
              <w:rPr>
                <w:sz w:val="22"/>
                <w:szCs w:val="22"/>
              </w:rPr>
              <w:lastRenderedPageBreak/>
              <w:t>under employment training programs with clearly defined goals and objectives, and are excluded only for the period during which the family member participates in the employment training program.</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lastRenderedPageBreak/>
              <w:t>9. Other Non Recurring Income</w:t>
            </w:r>
          </w:p>
        </w:tc>
        <w:tc>
          <w:tcPr>
            <w:tcW w:w="6678" w:type="dxa"/>
          </w:tcPr>
          <w:p w:rsidR="0017538D" w:rsidRPr="00BB555E" w:rsidRDefault="0017538D">
            <w:pPr>
              <w:rPr>
                <w:sz w:val="22"/>
                <w:szCs w:val="22"/>
              </w:rPr>
            </w:pPr>
            <w:r w:rsidRPr="00BB555E">
              <w:rPr>
                <w:sz w:val="22"/>
                <w:szCs w:val="22"/>
              </w:rPr>
              <w:t>Temporary, nonrecurring, or sporadic income (including gifts).</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10. Reparations</w:t>
            </w:r>
          </w:p>
        </w:tc>
        <w:tc>
          <w:tcPr>
            <w:tcW w:w="6678" w:type="dxa"/>
          </w:tcPr>
          <w:p w:rsidR="0017538D" w:rsidRPr="00BB555E" w:rsidRDefault="0017538D">
            <w:pPr>
              <w:rPr>
                <w:sz w:val="22"/>
                <w:szCs w:val="22"/>
              </w:rPr>
            </w:pPr>
            <w:r w:rsidRPr="00BB555E">
              <w:rPr>
                <w:sz w:val="22"/>
                <w:szCs w:val="22"/>
              </w:rPr>
              <w:t>Reparation payments paid by a foreign government pursuant to claims filed under the laws of that government by persons who were persecuted during the Nazi era.</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11. Income from Full-time Students</w:t>
            </w:r>
          </w:p>
        </w:tc>
        <w:tc>
          <w:tcPr>
            <w:tcW w:w="6678" w:type="dxa"/>
          </w:tcPr>
          <w:p w:rsidR="0017538D" w:rsidRPr="00BB555E" w:rsidRDefault="0017538D">
            <w:pPr>
              <w:rPr>
                <w:sz w:val="22"/>
                <w:szCs w:val="22"/>
              </w:rPr>
            </w:pPr>
            <w:r w:rsidRPr="00BB555E">
              <w:rPr>
                <w:sz w:val="22"/>
                <w:szCs w:val="22"/>
              </w:rPr>
              <w:t>Annual earnings in excess of $480 for each full-time student 18 years old or older (excluding the head of household or spouse).</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12. Adoption Assistance Payments</w:t>
            </w:r>
          </w:p>
        </w:tc>
        <w:tc>
          <w:tcPr>
            <w:tcW w:w="6678" w:type="dxa"/>
          </w:tcPr>
          <w:p w:rsidR="0017538D" w:rsidRPr="00BB555E" w:rsidRDefault="0017538D">
            <w:pPr>
              <w:rPr>
                <w:sz w:val="22"/>
                <w:szCs w:val="22"/>
              </w:rPr>
            </w:pPr>
            <w:r w:rsidRPr="00BB555E">
              <w:rPr>
                <w:sz w:val="22"/>
                <w:szCs w:val="22"/>
              </w:rPr>
              <w:t>Adoption assistance payments in excess of $480 annually per adopted child.</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13. Social Security &amp; SSI Income</w:t>
            </w:r>
          </w:p>
        </w:tc>
        <w:tc>
          <w:tcPr>
            <w:tcW w:w="6678" w:type="dxa"/>
          </w:tcPr>
          <w:p w:rsidR="0017538D" w:rsidRPr="00BB555E" w:rsidRDefault="0017538D">
            <w:pPr>
              <w:rPr>
                <w:sz w:val="22"/>
                <w:szCs w:val="22"/>
              </w:rPr>
            </w:pPr>
            <w:r w:rsidRPr="00BB555E">
              <w:rPr>
                <w:sz w:val="22"/>
                <w:szCs w:val="22"/>
              </w:rPr>
              <w:t>Deferred periodic amounts from SSI and Social Security benefits that are received in a lump sum amount or in prospective monthly amounts.</w:t>
            </w:r>
          </w:p>
        </w:tc>
      </w:tr>
      <w:tr w:rsidR="0017538D" w:rsidRPr="00BB555E" w:rsidTr="002455BA">
        <w:trPr>
          <w:jc w:val="center"/>
        </w:trPr>
        <w:tc>
          <w:tcPr>
            <w:tcW w:w="2898" w:type="dxa"/>
          </w:tcPr>
          <w:p w:rsidR="0017538D" w:rsidRPr="00BB555E" w:rsidRDefault="0017538D">
            <w:pPr>
              <w:pStyle w:val="Default"/>
              <w:rPr>
                <w:rFonts w:ascii="Times New Roman" w:hAnsi="Times New Roman" w:cs="Times New Roman"/>
                <w:sz w:val="22"/>
                <w:szCs w:val="22"/>
              </w:rPr>
            </w:pPr>
            <w:r w:rsidRPr="00BB555E">
              <w:rPr>
                <w:rFonts w:ascii="Times New Roman" w:hAnsi="Times New Roman" w:cs="Times New Roman"/>
                <w:sz w:val="22"/>
                <w:szCs w:val="22"/>
              </w:rPr>
              <w:t xml:space="preserve">14. Income Tax and Property Tax Refunds </w:t>
            </w:r>
          </w:p>
        </w:tc>
        <w:tc>
          <w:tcPr>
            <w:tcW w:w="6678" w:type="dxa"/>
          </w:tcPr>
          <w:p w:rsidR="0017538D" w:rsidRPr="00BB555E" w:rsidRDefault="0017538D">
            <w:pPr>
              <w:rPr>
                <w:sz w:val="22"/>
                <w:szCs w:val="22"/>
              </w:rPr>
            </w:pPr>
            <w:r w:rsidRPr="00BB555E">
              <w:rPr>
                <w:sz w:val="22"/>
                <w:szCs w:val="22"/>
              </w:rPr>
              <w:t>Amounts received by the family in the form of refunds or rebates under state or local law for property taxes paid on the dwelling unit.</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15. Home Care Assistance</w:t>
            </w:r>
          </w:p>
        </w:tc>
        <w:tc>
          <w:tcPr>
            <w:tcW w:w="6678" w:type="dxa"/>
          </w:tcPr>
          <w:p w:rsidR="0017538D" w:rsidRPr="00BB555E" w:rsidRDefault="0017538D">
            <w:pPr>
              <w:rPr>
                <w:sz w:val="22"/>
                <w:szCs w:val="22"/>
              </w:rPr>
            </w:pPr>
            <w:r w:rsidRPr="00BB555E">
              <w:rPr>
                <w:sz w:val="22"/>
                <w:szCs w:val="22"/>
              </w:rPr>
              <w:t>Amounts paid by a state agency to a family with a member who has a developmental disability and is living at home to offset the cost of services and equipment needed to keep this developmentally disabled family member at home.</w:t>
            </w:r>
          </w:p>
        </w:tc>
      </w:tr>
      <w:tr w:rsidR="0017538D" w:rsidRPr="00BB555E" w:rsidTr="002455BA">
        <w:trPr>
          <w:jc w:val="center"/>
        </w:trPr>
        <w:tc>
          <w:tcPr>
            <w:tcW w:w="2898" w:type="dxa"/>
          </w:tcPr>
          <w:p w:rsidR="0017538D" w:rsidRPr="00BB555E" w:rsidRDefault="0017538D">
            <w:pPr>
              <w:rPr>
                <w:sz w:val="22"/>
                <w:szCs w:val="22"/>
              </w:rPr>
            </w:pPr>
            <w:r w:rsidRPr="00BB555E">
              <w:rPr>
                <w:sz w:val="22"/>
                <w:szCs w:val="22"/>
              </w:rPr>
              <w:t>16. Other Federal Exclusions</w:t>
            </w:r>
          </w:p>
        </w:tc>
        <w:tc>
          <w:tcPr>
            <w:tcW w:w="6678" w:type="dxa"/>
          </w:tcPr>
          <w:p w:rsidR="0017538D" w:rsidRPr="00BB555E" w:rsidRDefault="0017538D" w:rsidP="00952139">
            <w:pPr>
              <w:rPr>
                <w:sz w:val="22"/>
                <w:szCs w:val="22"/>
              </w:rPr>
            </w:pPr>
            <w:r w:rsidRPr="00BB555E">
              <w:rPr>
                <w:sz w:val="22"/>
                <w:szCs w:val="22"/>
              </w:rPr>
              <w:t>Amounts specifically excluded by any other federal statute from consideration as income for purposes of determining eligibility or benefits under a category of assistance programs that includes assistance under any program to which the exclusions of 24 CFR 5.609(c) apply, including: The value of the allotment made unde</w:t>
            </w:r>
            <w:r w:rsidR="00952139" w:rsidRPr="00BB555E">
              <w:rPr>
                <w:sz w:val="22"/>
                <w:szCs w:val="22"/>
              </w:rPr>
              <w:t xml:space="preserve">r the Food Stamp Act of 1977; </w:t>
            </w:r>
            <w:r w:rsidRPr="00BB555E">
              <w:rPr>
                <w:sz w:val="22"/>
                <w:szCs w:val="22"/>
              </w:rPr>
              <w:t>Payments received under the Domestic Volunteer Service Act of 1973 (employment through VISTA, Retired Senior Volunteer Program, Foster Grandparents Program, youthful offender incarceration alte</w:t>
            </w:r>
            <w:r w:rsidR="00952139" w:rsidRPr="00BB555E">
              <w:rPr>
                <w:sz w:val="22"/>
                <w:szCs w:val="22"/>
              </w:rPr>
              <w:t xml:space="preserve">rnatives, senior companions); </w:t>
            </w:r>
            <w:r w:rsidRPr="00BB555E">
              <w:rPr>
                <w:sz w:val="22"/>
                <w:szCs w:val="22"/>
              </w:rPr>
              <w:t>Payments received under the Alaskan</w:t>
            </w:r>
            <w:r w:rsidR="00952139" w:rsidRPr="00BB555E">
              <w:rPr>
                <w:sz w:val="22"/>
                <w:szCs w:val="22"/>
              </w:rPr>
              <w:t xml:space="preserve"> Native Claims Settlement Act; </w:t>
            </w:r>
            <w:r w:rsidRPr="00BB555E">
              <w:rPr>
                <w:sz w:val="22"/>
                <w:szCs w:val="22"/>
              </w:rPr>
              <w:t xml:space="preserve"> Income derived from the disposition of funds to the Grand </w:t>
            </w:r>
            <w:r w:rsidR="00952139" w:rsidRPr="00BB555E">
              <w:rPr>
                <w:sz w:val="22"/>
                <w:szCs w:val="22"/>
              </w:rPr>
              <w:t xml:space="preserve">River Band of Ottawa Indians; </w:t>
            </w:r>
            <w:r w:rsidRPr="00BB555E">
              <w:rPr>
                <w:sz w:val="22"/>
                <w:szCs w:val="22"/>
              </w:rPr>
              <w:t>Income derived from certain sub</w:t>
            </w:r>
            <w:r w:rsidR="00D1599D" w:rsidRPr="00BB555E">
              <w:rPr>
                <w:sz w:val="22"/>
                <w:szCs w:val="22"/>
              </w:rPr>
              <w:t>-</w:t>
            </w:r>
            <w:r w:rsidRPr="00BB555E">
              <w:rPr>
                <w:sz w:val="22"/>
                <w:szCs w:val="22"/>
              </w:rPr>
              <w:t>marginal land of the United States that is held in tru</w:t>
            </w:r>
            <w:r w:rsidR="00952139" w:rsidRPr="00BB555E">
              <w:rPr>
                <w:sz w:val="22"/>
                <w:szCs w:val="22"/>
              </w:rPr>
              <w:t xml:space="preserve">st for certain Indian tribes; </w:t>
            </w:r>
            <w:r w:rsidRPr="00BB555E">
              <w:rPr>
                <w:sz w:val="22"/>
                <w:szCs w:val="22"/>
              </w:rPr>
              <w:t>Payments or allowances made under the Department of Health and Human Services' Low-Income Ho</w:t>
            </w:r>
            <w:r w:rsidR="00952139" w:rsidRPr="00BB555E">
              <w:rPr>
                <w:sz w:val="22"/>
                <w:szCs w:val="22"/>
              </w:rPr>
              <w:t xml:space="preserve">me Energy Assistance Program; </w:t>
            </w:r>
            <w:r w:rsidRPr="00BB555E">
              <w:rPr>
                <w:sz w:val="22"/>
                <w:szCs w:val="22"/>
              </w:rPr>
              <w:t>Payments received under the Maine Indian Claims Settlement A</w:t>
            </w:r>
            <w:r w:rsidR="00952139" w:rsidRPr="00BB555E">
              <w:rPr>
                <w:sz w:val="22"/>
                <w:szCs w:val="22"/>
              </w:rPr>
              <w:t xml:space="preserve">ct of 1980 ( 25 U.S.C. 1721); </w:t>
            </w:r>
            <w:r w:rsidRPr="00BB555E">
              <w:rPr>
                <w:sz w:val="22"/>
                <w:szCs w:val="22"/>
              </w:rPr>
              <w:t>The first $2,000 of per capita shares received from judgment funds awarded by the Indian Claims Commission or the U.S. Claims Court and the interests of individual Indians in trust or restricted lands, including the first $2,000 per year of income received by individual Indians from funds derived from interests held in su</w:t>
            </w:r>
            <w:r w:rsidR="00952139" w:rsidRPr="00BB555E">
              <w:rPr>
                <w:sz w:val="22"/>
                <w:szCs w:val="22"/>
              </w:rPr>
              <w:t xml:space="preserve">ch trust or restricted lands; </w:t>
            </w:r>
            <w:r w:rsidRPr="00BB555E">
              <w:rPr>
                <w:sz w:val="22"/>
                <w:szCs w:val="22"/>
              </w:rPr>
              <w:t>Amounts of scholarships funded under Title IV of the Higher Education Act of 1965, including awards under the Federal work</w:t>
            </w:r>
            <w:r w:rsidR="00D1599D" w:rsidRPr="00BB555E">
              <w:rPr>
                <w:sz w:val="22"/>
                <w:szCs w:val="22"/>
              </w:rPr>
              <w:t xml:space="preserve"> </w:t>
            </w:r>
            <w:r w:rsidRPr="00BB555E">
              <w:rPr>
                <w:sz w:val="22"/>
                <w:szCs w:val="22"/>
              </w:rPr>
              <w:t>study program or under the Bureau of Indian Affairs</w:t>
            </w:r>
            <w:r w:rsidR="00952139" w:rsidRPr="00BB555E">
              <w:rPr>
                <w:sz w:val="22"/>
                <w:szCs w:val="22"/>
              </w:rPr>
              <w:t xml:space="preserve"> student assistance programs; </w:t>
            </w:r>
            <w:r w:rsidRPr="00BB555E">
              <w:rPr>
                <w:sz w:val="22"/>
                <w:szCs w:val="22"/>
              </w:rPr>
              <w:t xml:space="preserve">Payments received from programs funded under Title V of the Older Americans Act of 1985 (Green Thumb, Senior Aides, Older American Community Service Employment </w:t>
            </w:r>
            <w:r w:rsidR="00952139" w:rsidRPr="00BB555E">
              <w:rPr>
                <w:sz w:val="22"/>
                <w:szCs w:val="22"/>
              </w:rPr>
              <w:t xml:space="preserve">Program); </w:t>
            </w:r>
            <w:r w:rsidRPr="00BB555E">
              <w:rPr>
                <w:sz w:val="22"/>
                <w:szCs w:val="22"/>
              </w:rPr>
              <w:t>Payments received on or after January 1, 1989, from the Agent Orange Settlement Fund or any other fund established pursuant to the settlement in the In Re Agent Orange product liability litigati</w:t>
            </w:r>
            <w:r w:rsidR="00952139" w:rsidRPr="00BB555E">
              <w:rPr>
                <w:sz w:val="22"/>
                <w:szCs w:val="22"/>
              </w:rPr>
              <w:t>on,</w:t>
            </w:r>
            <w:r w:rsidR="006E2EFC">
              <w:rPr>
                <w:sz w:val="22"/>
                <w:szCs w:val="22"/>
              </w:rPr>
              <w:t xml:space="preserve"> </w:t>
            </w:r>
            <w:r w:rsidR="00952139" w:rsidRPr="00BB555E">
              <w:rPr>
                <w:sz w:val="22"/>
                <w:szCs w:val="22"/>
              </w:rPr>
              <w:t xml:space="preserve">M.D.L. No. 381 (E.D.N.Y.); </w:t>
            </w:r>
            <w:r w:rsidRPr="00BB555E">
              <w:rPr>
                <w:sz w:val="22"/>
                <w:szCs w:val="22"/>
              </w:rPr>
              <w:t>Earned income tax credit refund payments received on or after January 1, 1991, including advanced e</w:t>
            </w:r>
            <w:r w:rsidR="00952139" w:rsidRPr="00BB555E">
              <w:rPr>
                <w:sz w:val="22"/>
                <w:szCs w:val="22"/>
              </w:rPr>
              <w:t xml:space="preserve">arned income credit payments; </w:t>
            </w:r>
            <w:r w:rsidRPr="00BB555E">
              <w:rPr>
                <w:sz w:val="22"/>
                <w:szCs w:val="22"/>
              </w:rPr>
              <w:t xml:space="preserve">The value of any child care provided or arranged (or </w:t>
            </w:r>
            <w:r w:rsidRPr="00BB555E">
              <w:rPr>
                <w:sz w:val="22"/>
                <w:szCs w:val="22"/>
              </w:rPr>
              <w:lastRenderedPageBreak/>
              <w:t>any amount received as payment for such care or reimbursement for costs incurred for such care) under the Child Care and Develop</w:t>
            </w:r>
            <w:r w:rsidR="00952139" w:rsidRPr="00BB555E">
              <w:rPr>
                <w:sz w:val="22"/>
                <w:szCs w:val="22"/>
              </w:rPr>
              <w:t xml:space="preserve">ment Block Grant Act of 1990; </w:t>
            </w:r>
            <w:r w:rsidRPr="00BB555E">
              <w:rPr>
                <w:sz w:val="22"/>
                <w:szCs w:val="22"/>
              </w:rPr>
              <w:t xml:space="preserve">Payments received under programs funded in whole or in part under the Job Training Partnership Act (employment and training programs for Native Americans and migrant and seasonal farm workers, Job Corps, state job training programs and career </w:t>
            </w:r>
            <w:r w:rsidR="00952139" w:rsidRPr="00BB555E">
              <w:rPr>
                <w:sz w:val="22"/>
                <w:szCs w:val="22"/>
              </w:rPr>
              <w:t xml:space="preserve">intern programs, AmeriCorps); </w:t>
            </w:r>
            <w:r w:rsidRPr="00BB555E">
              <w:rPr>
                <w:sz w:val="22"/>
                <w:szCs w:val="22"/>
              </w:rPr>
              <w:t>Payments by the Indian Claims Commission to the Confederated Tribes and Bands of Yakima Indian Nation or the Apache Tr</w:t>
            </w:r>
            <w:r w:rsidR="00952139" w:rsidRPr="00BB555E">
              <w:rPr>
                <w:sz w:val="22"/>
                <w:szCs w:val="22"/>
              </w:rPr>
              <w:t xml:space="preserve">ibe of Mescalero Reservation; </w:t>
            </w:r>
            <w:r w:rsidRPr="00BB555E">
              <w:rPr>
                <w:sz w:val="22"/>
                <w:szCs w:val="22"/>
              </w:rPr>
              <w:t>Allowances, earnings, and payments to AmeriCorps participants under the National and C</w:t>
            </w:r>
            <w:r w:rsidR="00952139" w:rsidRPr="00BB555E">
              <w:rPr>
                <w:sz w:val="22"/>
                <w:szCs w:val="22"/>
              </w:rPr>
              <w:t xml:space="preserve">ommunity Service Act of 1990; </w:t>
            </w:r>
            <w:r w:rsidRPr="00BB555E">
              <w:rPr>
                <w:sz w:val="22"/>
                <w:szCs w:val="22"/>
              </w:rPr>
              <w:t>Any allowance paid under the provisions of 38 U.S.C. 1805 to a child suffering from spina bifida who is t</w:t>
            </w:r>
            <w:r w:rsidR="00952139" w:rsidRPr="00BB555E">
              <w:rPr>
                <w:sz w:val="22"/>
                <w:szCs w:val="22"/>
              </w:rPr>
              <w:t xml:space="preserve">he child of a Vietnam veteran; </w:t>
            </w:r>
            <w:r w:rsidRPr="00BB555E">
              <w:rPr>
                <w:sz w:val="22"/>
                <w:szCs w:val="22"/>
              </w:rPr>
              <w:t xml:space="preserve"> 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w:t>
            </w:r>
            <w:r w:rsidR="00952139" w:rsidRPr="00BB555E">
              <w:rPr>
                <w:sz w:val="22"/>
                <w:szCs w:val="22"/>
              </w:rPr>
              <w:t xml:space="preserve"> the Victims of Crime Act; and </w:t>
            </w:r>
            <w:r w:rsidRPr="00BB555E">
              <w:rPr>
                <w:sz w:val="22"/>
                <w:szCs w:val="22"/>
              </w:rPr>
              <w:t>Allowances, earnings, and payments to individuals participating in programs under the Workforce Investment Act of 1998.</w:t>
            </w:r>
          </w:p>
        </w:tc>
      </w:tr>
    </w:tbl>
    <w:p w:rsidR="0017538D" w:rsidRPr="008E0A38" w:rsidRDefault="0017538D">
      <w:pPr>
        <w:rPr>
          <w:sz w:val="20"/>
          <w:szCs w:val="20"/>
        </w:rPr>
      </w:pPr>
    </w:p>
    <w:p w:rsidR="00DD71F5" w:rsidRDefault="00DD71F5">
      <w:pPr>
        <w:rPr>
          <w:sz w:val="20"/>
          <w:szCs w:val="20"/>
        </w:rPr>
      </w:pPr>
      <w:r>
        <w:rPr>
          <w:sz w:val="20"/>
          <w:szCs w:val="20"/>
        </w:rPr>
        <w:br w:type="page"/>
      </w:r>
    </w:p>
    <w:p w:rsidR="00E5544E" w:rsidRPr="009C2826" w:rsidRDefault="00903764" w:rsidP="00B95D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C87654">
        <w:rPr>
          <w:b/>
          <w:bCs/>
          <w:sz w:val="28"/>
          <w:szCs w:val="28"/>
        </w:rPr>
        <w:lastRenderedPageBreak/>
        <w:t>Appendix D</w:t>
      </w:r>
    </w:p>
    <w:p w:rsidR="00DD71F5" w:rsidRPr="009C2826" w:rsidRDefault="00DD71F5" w:rsidP="00B95D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16"/>
          <w:szCs w:val="16"/>
        </w:rPr>
      </w:pPr>
    </w:p>
    <w:p w:rsidR="003713B5" w:rsidRPr="009C2826" w:rsidRDefault="00B95D13" w:rsidP="00B95D1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85"/>
          <w:tab w:val="center" w:pos="4680"/>
        </w:tabs>
        <w:rPr>
          <w:b/>
          <w:bCs/>
          <w:sz w:val="28"/>
          <w:szCs w:val="28"/>
        </w:rPr>
      </w:pPr>
      <w:r w:rsidRPr="009C2826">
        <w:rPr>
          <w:b/>
          <w:bCs/>
          <w:sz w:val="28"/>
          <w:szCs w:val="28"/>
        </w:rPr>
        <w:tab/>
      </w:r>
      <w:r w:rsidRPr="009C2826">
        <w:rPr>
          <w:b/>
          <w:bCs/>
          <w:sz w:val="28"/>
          <w:szCs w:val="28"/>
        </w:rPr>
        <w:tab/>
      </w:r>
      <w:r w:rsidR="003713B5" w:rsidRPr="009C2826">
        <w:rPr>
          <w:b/>
          <w:bCs/>
          <w:sz w:val="28"/>
          <w:szCs w:val="28"/>
        </w:rPr>
        <w:t>Rent Reasonableness</w:t>
      </w:r>
      <w:r w:rsidR="00BF0A45" w:rsidRPr="009C2826">
        <w:rPr>
          <w:b/>
          <w:bCs/>
          <w:sz w:val="28"/>
          <w:szCs w:val="28"/>
        </w:rPr>
        <w:t xml:space="preserve"> Documentation Standards</w:t>
      </w:r>
    </w:p>
    <w:p w:rsidR="00645886" w:rsidRPr="009C2826" w:rsidRDefault="00645886" w:rsidP="00B95D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F74A2C">
        <w:rPr>
          <w:bCs/>
          <w:i/>
          <w:sz w:val="20"/>
          <w:szCs w:val="20"/>
        </w:rPr>
        <w:t>(</w:t>
      </w:r>
      <w:r w:rsidR="00921D7F" w:rsidRPr="00F74A2C">
        <w:rPr>
          <w:bCs/>
          <w:i/>
          <w:sz w:val="20"/>
          <w:szCs w:val="20"/>
        </w:rPr>
        <w:t>Adapted</w:t>
      </w:r>
      <w:r w:rsidRPr="00F74A2C">
        <w:rPr>
          <w:bCs/>
          <w:i/>
          <w:sz w:val="20"/>
          <w:szCs w:val="20"/>
        </w:rPr>
        <w:t xml:space="preserve"> from HUD’s H</w:t>
      </w:r>
      <w:r w:rsidR="00BF0A45" w:rsidRPr="00F74A2C">
        <w:rPr>
          <w:bCs/>
          <w:i/>
          <w:sz w:val="20"/>
          <w:szCs w:val="20"/>
        </w:rPr>
        <w:t xml:space="preserve">omeless </w:t>
      </w:r>
      <w:r w:rsidRPr="00F74A2C">
        <w:rPr>
          <w:bCs/>
          <w:i/>
          <w:sz w:val="20"/>
          <w:szCs w:val="20"/>
        </w:rPr>
        <w:t>P</w:t>
      </w:r>
      <w:r w:rsidR="00BF0A45" w:rsidRPr="00F74A2C">
        <w:rPr>
          <w:bCs/>
          <w:i/>
          <w:sz w:val="20"/>
          <w:szCs w:val="20"/>
        </w:rPr>
        <w:t xml:space="preserve">revention </w:t>
      </w:r>
      <w:r w:rsidRPr="00F74A2C">
        <w:rPr>
          <w:bCs/>
          <w:i/>
          <w:sz w:val="20"/>
          <w:szCs w:val="20"/>
        </w:rPr>
        <w:t>R</w:t>
      </w:r>
      <w:r w:rsidR="00BF0A45" w:rsidRPr="00F74A2C">
        <w:rPr>
          <w:bCs/>
          <w:i/>
          <w:sz w:val="20"/>
          <w:szCs w:val="20"/>
        </w:rPr>
        <w:t>apid Re</w:t>
      </w:r>
      <w:r w:rsidR="00921D7F" w:rsidRPr="00F74A2C">
        <w:rPr>
          <w:bCs/>
          <w:i/>
          <w:sz w:val="20"/>
          <w:szCs w:val="20"/>
        </w:rPr>
        <w:t>-</w:t>
      </w:r>
      <w:r w:rsidR="00BF0A45" w:rsidRPr="00F74A2C">
        <w:rPr>
          <w:bCs/>
          <w:i/>
          <w:sz w:val="20"/>
          <w:szCs w:val="20"/>
        </w:rPr>
        <w:t>Housing G</w:t>
      </w:r>
      <w:r w:rsidRPr="00F74A2C">
        <w:rPr>
          <w:bCs/>
          <w:i/>
          <w:sz w:val="20"/>
          <w:szCs w:val="20"/>
        </w:rPr>
        <w:t>rant Guidelines)</w:t>
      </w:r>
    </w:p>
    <w:p w:rsidR="00645886" w:rsidRPr="00BB555E" w:rsidRDefault="00645886" w:rsidP="00E5544E">
      <w:pPr>
        <w:jc w:val="center"/>
        <w:rPr>
          <w:b/>
          <w:bCs/>
        </w:rPr>
      </w:pPr>
    </w:p>
    <w:p w:rsidR="002455BA" w:rsidRPr="00BB555E" w:rsidRDefault="00645886" w:rsidP="003A6593">
      <w:pPr>
        <w:pStyle w:val="Heading1"/>
        <w:shd w:val="clear" w:color="auto" w:fill="FFFFFF" w:themeFill="background1"/>
        <w:spacing w:before="0" w:after="0"/>
        <w:rPr>
          <w:rFonts w:ascii="Times New Roman" w:hAnsi="Times New Roman"/>
          <w:sz w:val="24"/>
          <w:szCs w:val="24"/>
        </w:rPr>
      </w:pPr>
      <w:r w:rsidRPr="00BB555E">
        <w:rPr>
          <w:rFonts w:ascii="Times New Roman" w:hAnsi="Times New Roman"/>
          <w:sz w:val="24"/>
          <w:szCs w:val="24"/>
        </w:rPr>
        <w:t>Determining and Documenting Rent Reasonableness</w:t>
      </w:r>
    </w:p>
    <w:p w:rsidR="00337585" w:rsidRPr="00BB555E" w:rsidRDefault="00337585" w:rsidP="00337585">
      <w:pPr>
        <w:pStyle w:val="Heading1"/>
        <w:spacing w:before="0"/>
        <w:rPr>
          <w:rFonts w:ascii="Times New Roman" w:hAnsi="Times New Roman"/>
          <w:sz w:val="24"/>
          <w:szCs w:val="24"/>
          <w:u w:val="single"/>
        </w:rPr>
      </w:pPr>
      <w:r w:rsidRPr="00BB555E">
        <w:rPr>
          <w:rFonts w:ascii="Times New Roman" w:hAnsi="Times New Roman"/>
          <w:b w:val="0"/>
          <w:sz w:val="24"/>
          <w:szCs w:val="24"/>
        </w:rPr>
        <w:t>Determining and documenting rent reasonableness is required under CHG.  It is up to the Lead/Sub Grantees to determine exactly what documentation is required in order to ensure the rent reasonableness standard is met.</w:t>
      </w:r>
      <w:r w:rsidRPr="00BB555E">
        <w:rPr>
          <w:rFonts w:ascii="Times New Roman" w:hAnsi="Times New Roman"/>
          <w:sz w:val="24"/>
          <w:szCs w:val="24"/>
        </w:rPr>
        <w:t xml:space="preserve">  </w:t>
      </w:r>
    </w:p>
    <w:p w:rsidR="00337585" w:rsidRPr="00BB555E" w:rsidRDefault="00337585" w:rsidP="00337585"/>
    <w:p w:rsidR="00337585" w:rsidRPr="00BB555E" w:rsidRDefault="00337585" w:rsidP="00337585">
      <w:r w:rsidRPr="00BB555E">
        <w:t xml:space="preserve">Lead/Sub Grantees should determine rent reasonableness by considering: “(a) the location, quality, size, type, and age of the unit; and (b) any amenities, housing services, maintenance and utilities to be provided by the owner.  </w:t>
      </w:r>
    </w:p>
    <w:p w:rsidR="00337585" w:rsidRPr="00BB555E" w:rsidRDefault="00337585" w:rsidP="00337585"/>
    <w:p w:rsidR="00645886" w:rsidRPr="00BB555E" w:rsidRDefault="00337585" w:rsidP="00337585">
      <w:pPr>
        <w:rPr>
          <w:rFonts w:eastAsia="Calibri"/>
        </w:rPr>
      </w:pPr>
      <w:r w:rsidRPr="00BB555E">
        <w:t>Comparable rents can be checked by using a market study, by reviewing comparable units advertised for rent, or with a note from the property owner verifying the comparability of the rent charged to other units owned.” </w:t>
      </w:r>
    </w:p>
    <w:p w:rsidR="00645886" w:rsidRPr="00BB555E" w:rsidRDefault="00645886" w:rsidP="00645886"/>
    <w:p w:rsidR="002455BA" w:rsidRPr="00BB555E" w:rsidRDefault="00645886" w:rsidP="003A6593">
      <w:pPr>
        <w:shd w:val="clear" w:color="auto" w:fill="FFFFFF" w:themeFill="background1"/>
        <w:rPr>
          <w:b/>
        </w:rPr>
      </w:pPr>
      <w:r w:rsidRPr="00BB555E">
        <w:rPr>
          <w:b/>
        </w:rPr>
        <w:t>Rent Reasonableness Forms and/or Data Sources</w:t>
      </w:r>
    </w:p>
    <w:p w:rsidR="00645886" w:rsidRPr="00BB555E" w:rsidRDefault="00645886" w:rsidP="00645886">
      <w:pPr>
        <w:spacing w:after="120"/>
      </w:pPr>
      <w:r w:rsidRPr="00BB555E">
        <w:t xml:space="preserve">Lead/Sub Grantees must outline requirements for documenting comparable rents and may include specific forms and/or required data sources that must be included in the </w:t>
      </w:r>
      <w:r w:rsidR="0004005F" w:rsidRPr="00BB555E">
        <w:t xml:space="preserve">client </w:t>
      </w:r>
      <w:r w:rsidRPr="00BB555E">
        <w:t xml:space="preserve">file.  A common form to collect data on program units will make the data collection process easier.  Examples of forms and data resources include:  </w:t>
      </w:r>
    </w:p>
    <w:p w:rsidR="00645886" w:rsidRPr="00BB555E" w:rsidRDefault="00645886" w:rsidP="00760B91">
      <w:pPr>
        <w:pStyle w:val="Bullet1"/>
        <w:numPr>
          <w:ilvl w:val="0"/>
          <w:numId w:val="33"/>
        </w:numPr>
        <w:tabs>
          <w:tab w:val="left" w:pos="720"/>
        </w:tabs>
        <w:spacing w:after="0"/>
        <w:rPr>
          <w:rFonts w:ascii="Times New Roman" w:hAnsi="Times New Roman"/>
          <w:sz w:val="24"/>
          <w:szCs w:val="24"/>
        </w:rPr>
      </w:pPr>
      <w:r w:rsidRPr="00BB555E">
        <w:rPr>
          <w:rFonts w:ascii="Times New Roman" w:hAnsi="Times New Roman"/>
          <w:sz w:val="24"/>
          <w:szCs w:val="24"/>
        </w:rPr>
        <w:t xml:space="preserve">The Rent Reasonableness Checklist and Certification, available at </w:t>
      </w:r>
      <w:hyperlink r:id="rId33" w:history="1">
        <w:r w:rsidRPr="00BB555E">
          <w:rPr>
            <w:rStyle w:val="Hyperlink"/>
            <w:sz w:val="24"/>
            <w:szCs w:val="24"/>
          </w:rPr>
          <w:t>www.hud.gov/offices/cpd/affordablehousing/library/forms/rentreasonablechecklist.doc</w:t>
        </w:r>
      </w:hyperlink>
      <w:r w:rsidRPr="00BB555E">
        <w:rPr>
          <w:rFonts w:ascii="Times New Roman" w:hAnsi="Times New Roman"/>
          <w:sz w:val="24"/>
          <w:szCs w:val="24"/>
        </w:rPr>
        <w:t xml:space="preserve">, or other similar forms developed locally;   </w:t>
      </w:r>
    </w:p>
    <w:p w:rsidR="00E837D1" w:rsidRPr="00BB555E" w:rsidRDefault="00E837D1" w:rsidP="00E837D1">
      <w:pPr>
        <w:pStyle w:val="Bullet1"/>
        <w:numPr>
          <w:ilvl w:val="0"/>
          <w:numId w:val="0"/>
        </w:numPr>
        <w:tabs>
          <w:tab w:val="left" w:pos="720"/>
        </w:tabs>
        <w:spacing w:after="0"/>
        <w:ind w:left="720"/>
        <w:rPr>
          <w:rFonts w:ascii="Times New Roman" w:hAnsi="Times New Roman"/>
          <w:sz w:val="24"/>
          <w:szCs w:val="24"/>
        </w:rPr>
      </w:pPr>
    </w:p>
    <w:p w:rsidR="00645886" w:rsidRPr="00BB555E" w:rsidRDefault="00645886" w:rsidP="00760B91">
      <w:pPr>
        <w:pStyle w:val="Bullet1"/>
        <w:numPr>
          <w:ilvl w:val="0"/>
          <w:numId w:val="33"/>
        </w:numPr>
        <w:tabs>
          <w:tab w:val="left" w:pos="720"/>
        </w:tabs>
        <w:spacing w:after="0"/>
        <w:rPr>
          <w:rFonts w:ascii="Times New Roman" w:hAnsi="Times New Roman"/>
          <w:sz w:val="24"/>
          <w:szCs w:val="24"/>
        </w:rPr>
      </w:pPr>
      <w:r w:rsidRPr="00BB555E">
        <w:rPr>
          <w:rFonts w:ascii="Times New Roman" w:hAnsi="Times New Roman"/>
          <w:sz w:val="24"/>
          <w:szCs w:val="24"/>
        </w:rPr>
        <w:t xml:space="preserve">Other documentation, such as copies of newspaper advertisements, internet listings, or published rental data sources; </w:t>
      </w:r>
      <w:r w:rsidR="00E837D1" w:rsidRPr="00BB555E">
        <w:rPr>
          <w:rFonts w:ascii="Times New Roman" w:hAnsi="Times New Roman"/>
          <w:sz w:val="24"/>
          <w:szCs w:val="24"/>
        </w:rPr>
        <w:t>and</w:t>
      </w:r>
    </w:p>
    <w:p w:rsidR="00E837D1" w:rsidRPr="00BB555E" w:rsidRDefault="00E837D1" w:rsidP="00E837D1">
      <w:pPr>
        <w:pStyle w:val="Bullet1"/>
        <w:numPr>
          <w:ilvl w:val="0"/>
          <w:numId w:val="0"/>
        </w:numPr>
        <w:tabs>
          <w:tab w:val="left" w:pos="720"/>
        </w:tabs>
        <w:spacing w:after="0"/>
        <w:rPr>
          <w:rFonts w:ascii="Times New Roman" w:hAnsi="Times New Roman"/>
          <w:sz w:val="24"/>
          <w:szCs w:val="24"/>
        </w:rPr>
      </w:pPr>
    </w:p>
    <w:p w:rsidR="00645886" w:rsidRPr="00BB555E" w:rsidRDefault="00645886" w:rsidP="00760B91">
      <w:pPr>
        <w:pStyle w:val="Bullet1"/>
        <w:numPr>
          <w:ilvl w:val="0"/>
          <w:numId w:val="33"/>
        </w:numPr>
        <w:tabs>
          <w:tab w:val="left" w:pos="720"/>
        </w:tabs>
        <w:spacing w:after="0"/>
        <w:rPr>
          <w:rFonts w:ascii="Times New Roman" w:hAnsi="Times New Roman"/>
          <w:sz w:val="24"/>
          <w:szCs w:val="24"/>
        </w:rPr>
      </w:pPr>
      <w:r w:rsidRPr="00BB555E">
        <w:rPr>
          <w:rFonts w:ascii="Times New Roman" w:hAnsi="Times New Roman"/>
          <w:sz w:val="24"/>
          <w:szCs w:val="24"/>
        </w:rPr>
        <w:t xml:space="preserve">Printouts of records from the Lead/Sub Grantees rental housing database (if one exists). </w:t>
      </w:r>
    </w:p>
    <w:p w:rsidR="00645886" w:rsidRPr="00BB555E" w:rsidRDefault="00645886" w:rsidP="00645886">
      <w:pPr>
        <w:rPr>
          <w:b/>
          <w:bCs/>
          <w:i/>
          <w:iCs/>
          <w:color w:val="1F497D"/>
        </w:rPr>
      </w:pPr>
    </w:p>
    <w:p w:rsidR="00645886" w:rsidRPr="00BB555E" w:rsidRDefault="00ED2020" w:rsidP="00645886">
      <w:pPr>
        <w:rPr>
          <w:iCs/>
        </w:rPr>
      </w:pPr>
      <w:r w:rsidRPr="00BB555E">
        <w:rPr>
          <w:iCs/>
        </w:rPr>
        <w:t xml:space="preserve">Tip: </w:t>
      </w:r>
      <w:r w:rsidR="00645886" w:rsidRPr="00BB555E">
        <w:rPr>
          <w:iCs/>
        </w:rPr>
        <w:t xml:space="preserve">The Rent Reasonable Checklist is a sample form that is used across different housing programs, and as such, includes some concepts and terms that are not applicable to CHG.  </w:t>
      </w:r>
    </w:p>
    <w:p w:rsidR="00645886" w:rsidRPr="00BB555E" w:rsidRDefault="00645886" w:rsidP="00645886">
      <w:pPr>
        <w:rPr>
          <w:color w:val="1F497D"/>
        </w:rPr>
      </w:pPr>
    </w:p>
    <w:p w:rsidR="00ED2020" w:rsidRPr="00BB555E" w:rsidRDefault="00645886" w:rsidP="003A6593">
      <w:pPr>
        <w:pStyle w:val="Heading1"/>
        <w:shd w:val="clear" w:color="auto" w:fill="FFFFFF" w:themeFill="background1"/>
        <w:spacing w:before="0" w:after="0"/>
        <w:rPr>
          <w:rFonts w:ascii="Times New Roman" w:hAnsi="Times New Roman"/>
          <w:sz w:val="24"/>
          <w:szCs w:val="24"/>
        </w:rPr>
      </w:pPr>
      <w:r w:rsidRPr="00BB555E">
        <w:rPr>
          <w:rFonts w:ascii="Times New Roman" w:hAnsi="Times New Roman"/>
          <w:sz w:val="24"/>
          <w:szCs w:val="24"/>
        </w:rPr>
        <w:t xml:space="preserve">Components of an </w:t>
      </w:r>
      <w:r w:rsidR="00ED2020" w:rsidRPr="00BB555E">
        <w:rPr>
          <w:rFonts w:ascii="Times New Roman" w:hAnsi="Times New Roman"/>
          <w:sz w:val="24"/>
          <w:szCs w:val="24"/>
        </w:rPr>
        <w:t>E</w:t>
      </w:r>
      <w:r w:rsidRPr="00BB555E">
        <w:rPr>
          <w:rFonts w:ascii="Times New Roman" w:hAnsi="Times New Roman"/>
          <w:sz w:val="24"/>
          <w:szCs w:val="24"/>
        </w:rPr>
        <w:t xml:space="preserve">ffective </w:t>
      </w:r>
      <w:r w:rsidR="00ED2020" w:rsidRPr="00BB555E">
        <w:rPr>
          <w:rFonts w:ascii="Times New Roman" w:hAnsi="Times New Roman"/>
          <w:sz w:val="24"/>
          <w:szCs w:val="24"/>
        </w:rPr>
        <w:t>P</w:t>
      </w:r>
      <w:r w:rsidRPr="00BB555E">
        <w:rPr>
          <w:rFonts w:ascii="Times New Roman" w:hAnsi="Times New Roman"/>
          <w:sz w:val="24"/>
          <w:szCs w:val="24"/>
        </w:rPr>
        <w:t>olicy</w:t>
      </w:r>
    </w:p>
    <w:p w:rsidR="00645886" w:rsidRPr="00BB555E" w:rsidRDefault="00645886" w:rsidP="00291C2C">
      <w:pPr>
        <w:pStyle w:val="Heading1"/>
        <w:spacing w:before="0"/>
        <w:rPr>
          <w:rFonts w:ascii="Times New Roman" w:eastAsia="Calibri" w:hAnsi="Times New Roman"/>
          <w:b w:val="0"/>
          <w:color w:val="1F497D"/>
          <w:sz w:val="24"/>
          <w:szCs w:val="24"/>
        </w:rPr>
      </w:pPr>
      <w:r w:rsidRPr="00BB555E">
        <w:rPr>
          <w:rFonts w:ascii="Times New Roman" w:hAnsi="Times New Roman"/>
          <w:b w:val="0"/>
          <w:sz w:val="24"/>
          <w:szCs w:val="24"/>
        </w:rPr>
        <w:t xml:space="preserve">CHG expects that </w:t>
      </w:r>
      <w:r w:rsidR="00337585" w:rsidRPr="00BB555E">
        <w:rPr>
          <w:rFonts w:ascii="Times New Roman" w:hAnsi="Times New Roman"/>
          <w:b w:val="0"/>
          <w:sz w:val="24"/>
          <w:szCs w:val="24"/>
        </w:rPr>
        <w:t xml:space="preserve">the </w:t>
      </w:r>
      <w:r w:rsidR="007F3434" w:rsidRPr="00BB555E">
        <w:rPr>
          <w:rFonts w:ascii="Times New Roman" w:hAnsi="Times New Roman"/>
          <w:b w:val="0"/>
          <w:sz w:val="24"/>
          <w:szCs w:val="24"/>
        </w:rPr>
        <w:t xml:space="preserve">Lead/Sub Grantee </w:t>
      </w:r>
      <w:r w:rsidRPr="00BB555E">
        <w:rPr>
          <w:rFonts w:ascii="Times New Roman" w:hAnsi="Times New Roman"/>
          <w:b w:val="0"/>
          <w:sz w:val="24"/>
          <w:szCs w:val="24"/>
        </w:rPr>
        <w:t>have established a rent reasonableness policy to ensure that rent reasonableness determinations and documentations are defensible, transparent and consistent across their program. At</w:t>
      </w:r>
      <w:r w:rsidRPr="00BB555E">
        <w:rPr>
          <w:rFonts w:ascii="Times New Roman" w:hAnsi="Times New Roman"/>
          <w:b w:val="0"/>
          <w:color w:val="1F497D"/>
          <w:sz w:val="24"/>
          <w:szCs w:val="24"/>
        </w:rPr>
        <w:t xml:space="preserve"> </w:t>
      </w:r>
      <w:r w:rsidRPr="00BB555E">
        <w:rPr>
          <w:rFonts w:ascii="Times New Roman" w:hAnsi="Times New Roman"/>
          <w:b w:val="0"/>
          <w:sz w:val="24"/>
          <w:szCs w:val="24"/>
        </w:rPr>
        <w:t>a minimum, an effective policy includes a methodology, documentation requirements, staffing, and strategies for addressing special circumstances.</w:t>
      </w:r>
      <w:r w:rsidRPr="00BB555E">
        <w:rPr>
          <w:rFonts w:ascii="Times New Roman" w:hAnsi="Times New Roman"/>
          <w:b w:val="0"/>
          <w:color w:val="1F497D"/>
          <w:sz w:val="24"/>
          <w:szCs w:val="24"/>
        </w:rPr>
        <w:t xml:space="preserve">  </w:t>
      </w:r>
    </w:p>
    <w:p w:rsidR="00645886" w:rsidRPr="00BB555E" w:rsidRDefault="00645886" w:rsidP="00645886">
      <w:pPr>
        <w:rPr>
          <w:color w:val="1F497D"/>
          <w:u w:val="single"/>
        </w:rPr>
      </w:pPr>
    </w:p>
    <w:p w:rsidR="00645886" w:rsidRPr="00BB555E" w:rsidRDefault="00645886" w:rsidP="00645886">
      <w:r w:rsidRPr="00BB555E">
        <w:t xml:space="preserve">Policies should provide step-by-step guidance on how comparisons should be made and what documentation should be included in the case file, including any notes from the staff person making the determination.  For example, Lead/Sub Grantees could create a policy where a provider must consider three units, but the rent paid must be within $50 of the average comparable rents. In this example, a rent paid could actually be slightly higher than any of the individual comparable units, which would be fine according to the Lead/Sub Grantee policy. </w:t>
      </w:r>
    </w:p>
    <w:p w:rsidR="00ED2020" w:rsidRPr="00BB555E" w:rsidRDefault="00645886" w:rsidP="003A6593">
      <w:pPr>
        <w:shd w:val="clear" w:color="auto" w:fill="FFFFFF" w:themeFill="background1"/>
        <w:rPr>
          <w:b/>
        </w:rPr>
      </w:pPr>
      <w:r w:rsidRPr="00BB555E">
        <w:rPr>
          <w:b/>
        </w:rPr>
        <w:lastRenderedPageBreak/>
        <w:t>Methodology</w:t>
      </w:r>
    </w:p>
    <w:p w:rsidR="00645886" w:rsidRPr="00BB555E" w:rsidRDefault="00D3521C" w:rsidP="00645886">
      <w:pPr>
        <w:spacing w:after="120"/>
        <w:rPr>
          <w:color w:val="1F497D"/>
        </w:rPr>
      </w:pPr>
      <w:r w:rsidRPr="00BB555E">
        <w:t>M</w:t>
      </w:r>
      <w:r w:rsidR="00645886" w:rsidRPr="00BB555E">
        <w:t>ethodologies for obtaining comparable rents include (but are not limited to):</w:t>
      </w:r>
    </w:p>
    <w:p w:rsidR="00645886" w:rsidRPr="00BB555E" w:rsidRDefault="00645886" w:rsidP="00760B91">
      <w:pPr>
        <w:pStyle w:val="Bullet1"/>
        <w:numPr>
          <w:ilvl w:val="0"/>
          <w:numId w:val="34"/>
        </w:numPr>
        <w:tabs>
          <w:tab w:val="left" w:pos="720"/>
        </w:tabs>
        <w:spacing w:after="0"/>
        <w:rPr>
          <w:rFonts w:ascii="Times New Roman" w:hAnsi="Times New Roman"/>
          <w:sz w:val="24"/>
          <w:szCs w:val="24"/>
        </w:rPr>
      </w:pPr>
      <w:r w:rsidRPr="00BB555E">
        <w:rPr>
          <w:rFonts w:ascii="Times New Roman" w:hAnsi="Times New Roman"/>
          <w:sz w:val="24"/>
          <w:szCs w:val="24"/>
        </w:rPr>
        <w:t xml:space="preserve">Using a market analysis or other published data to determine the appropriate rent ranges for units of different sizes, types, locations, and amenities; </w:t>
      </w:r>
    </w:p>
    <w:p w:rsidR="003B7154" w:rsidRPr="00BB555E" w:rsidRDefault="003B7154" w:rsidP="003B7154">
      <w:pPr>
        <w:pStyle w:val="Bullet1"/>
        <w:numPr>
          <w:ilvl w:val="0"/>
          <w:numId w:val="0"/>
        </w:numPr>
        <w:tabs>
          <w:tab w:val="left" w:pos="720"/>
        </w:tabs>
        <w:spacing w:after="0"/>
        <w:ind w:left="720"/>
        <w:rPr>
          <w:rFonts w:ascii="Times New Roman" w:hAnsi="Times New Roman"/>
          <w:sz w:val="24"/>
          <w:szCs w:val="24"/>
        </w:rPr>
      </w:pPr>
    </w:p>
    <w:p w:rsidR="003B7154" w:rsidRPr="00BB555E" w:rsidRDefault="00645886" w:rsidP="00760B91">
      <w:pPr>
        <w:pStyle w:val="Bullet1"/>
        <w:numPr>
          <w:ilvl w:val="0"/>
          <w:numId w:val="34"/>
        </w:numPr>
        <w:tabs>
          <w:tab w:val="left" w:pos="720"/>
        </w:tabs>
        <w:spacing w:after="0"/>
        <w:rPr>
          <w:rFonts w:ascii="Times New Roman" w:hAnsi="Times New Roman"/>
          <w:sz w:val="24"/>
          <w:szCs w:val="24"/>
        </w:rPr>
      </w:pPr>
      <w:r w:rsidRPr="00BB555E">
        <w:rPr>
          <w:rFonts w:ascii="Times New Roman" w:hAnsi="Times New Roman"/>
          <w:sz w:val="24"/>
          <w:szCs w:val="24"/>
        </w:rPr>
        <w:t>Obtaining documentation from property owners/managers o</w:t>
      </w:r>
      <w:r w:rsidRPr="00BB555E">
        <w:rPr>
          <w:rFonts w:ascii="Times New Roman" w:hAnsi="Times New Roman"/>
          <w:color w:val="1F497D"/>
          <w:sz w:val="24"/>
          <w:szCs w:val="24"/>
        </w:rPr>
        <w:t>n</w:t>
      </w:r>
      <w:r w:rsidRPr="00BB555E">
        <w:rPr>
          <w:rFonts w:ascii="Times New Roman" w:hAnsi="Times New Roman"/>
          <w:sz w:val="24"/>
          <w:szCs w:val="24"/>
        </w:rPr>
        <w:t xml:space="preserve"> current rents charged in comparable unassisted units; </w:t>
      </w:r>
    </w:p>
    <w:p w:rsidR="003B7154" w:rsidRPr="00BB555E" w:rsidRDefault="003B7154" w:rsidP="003B7154">
      <w:pPr>
        <w:pStyle w:val="ListParagraph"/>
      </w:pPr>
    </w:p>
    <w:p w:rsidR="00645886" w:rsidRPr="00BB555E" w:rsidRDefault="00645886" w:rsidP="00760B91">
      <w:pPr>
        <w:pStyle w:val="Bullet1"/>
        <w:numPr>
          <w:ilvl w:val="0"/>
          <w:numId w:val="34"/>
        </w:numPr>
        <w:tabs>
          <w:tab w:val="left" w:pos="720"/>
        </w:tabs>
        <w:spacing w:after="0"/>
        <w:rPr>
          <w:rFonts w:ascii="Times New Roman" w:hAnsi="Times New Roman"/>
          <w:sz w:val="24"/>
          <w:szCs w:val="24"/>
        </w:rPr>
      </w:pPr>
      <w:r w:rsidRPr="00BB555E">
        <w:rPr>
          <w:rFonts w:ascii="Times New Roman" w:hAnsi="Times New Roman"/>
          <w:sz w:val="24"/>
          <w:szCs w:val="24"/>
        </w:rPr>
        <w:t>Obtaining comparable rents on a unit-by-unit basis and requiring a check of, for example, at least 3 other units; or</w:t>
      </w:r>
    </w:p>
    <w:p w:rsidR="003B7154" w:rsidRPr="00BB555E" w:rsidRDefault="003B7154" w:rsidP="003B7154">
      <w:pPr>
        <w:pStyle w:val="Bullet1"/>
        <w:numPr>
          <w:ilvl w:val="0"/>
          <w:numId w:val="0"/>
        </w:numPr>
        <w:tabs>
          <w:tab w:val="left" w:pos="720"/>
        </w:tabs>
        <w:spacing w:after="0"/>
        <w:ind w:left="720"/>
        <w:rPr>
          <w:rFonts w:ascii="Times New Roman" w:hAnsi="Times New Roman"/>
          <w:sz w:val="24"/>
          <w:szCs w:val="24"/>
        </w:rPr>
      </w:pPr>
    </w:p>
    <w:p w:rsidR="00645886" w:rsidRPr="00BB555E" w:rsidRDefault="00645886" w:rsidP="00760B91">
      <w:pPr>
        <w:pStyle w:val="Bullet1"/>
        <w:numPr>
          <w:ilvl w:val="0"/>
          <w:numId w:val="34"/>
        </w:numPr>
        <w:tabs>
          <w:tab w:val="left" w:pos="720"/>
        </w:tabs>
        <w:spacing w:after="0"/>
        <w:rPr>
          <w:rFonts w:ascii="Times New Roman" w:hAnsi="Times New Roman"/>
          <w:sz w:val="24"/>
          <w:szCs w:val="24"/>
        </w:rPr>
      </w:pPr>
      <w:r w:rsidRPr="00BB555E">
        <w:rPr>
          <w:rFonts w:ascii="Times New Roman" w:hAnsi="Times New Roman"/>
          <w:sz w:val="24"/>
          <w:szCs w:val="24"/>
        </w:rPr>
        <w:t>A combination of these methodologies.</w:t>
      </w:r>
    </w:p>
    <w:p w:rsidR="00645886" w:rsidRPr="00BB555E" w:rsidRDefault="00645886" w:rsidP="00645886">
      <w:pPr>
        <w:pStyle w:val="Bullet1"/>
        <w:numPr>
          <w:ilvl w:val="0"/>
          <w:numId w:val="0"/>
        </w:numPr>
        <w:tabs>
          <w:tab w:val="left" w:pos="720"/>
        </w:tabs>
        <w:spacing w:after="0"/>
        <w:ind w:left="2160"/>
        <w:rPr>
          <w:rFonts w:ascii="Times New Roman" w:hAnsi="Times New Roman"/>
          <w:sz w:val="24"/>
          <w:szCs w:val="24"/>
        </w:rPr>
      </w:pPr>
    </w:p>
    <w:p w:rsidR="00ED2020" w:rsidRPr="00BB555E" w:rsidRDefault="00645886" w:rsidP="003A6593">
      <w:pPr>
        <w:shd w:val="clear" w:color="auto" w:fill="FFFFFF" w:themeFill="background1"/>
        <w:rPr>
          <w:b/>
        </w:rPr>
      </w:pPr>
      <w:r w:rsidRPr="00BB555E">
        <w:rPr>
          <w:b/>
        </w:rPr>
        <w:t>Strategy for Addressing Special Cases</w:t>
      </w:r>
    </w:p>
    <w:p w:rsidR="00645886" w:rsidRPr="00BB555E" w:rsidRDefault="00645886" w:rsidP="00645886">
      <w:pPr>
        <w:rPr>
          <w:color w:val="1F497D"/>
        </w:rPr>
      </w:pPr>
      <w:r w:rsidRPr="00BB555E">
        <w:t xml:space="preserve">There will be instances where the methodology and process adopted by Lead/Sub Grantee is not sufficient to establish rent reasonableness for a particular unit.  For example, staff may find that the rental housing database they are required to use does not have comparables for units with 6+ bedrooms.  Similarly, rural areas may only find 1 or 2 comparable units instead of the 3 units specified by their protocols.  The Lead/Sub Grantee policies should outline how to address these situations and the documentation required in these cases.  For example, the policy could allow staff to analyze the impact of an extra bedroom on rent for a particular area and calculate a reasonable rent based on their analysis.  </w:t>
      </w:r>
    </w:p>
    <w:p w:rsidR="00645886" w:rsidRPr="00BB555E" w:rsidRDefault="00645886" w:rsidP="00645886">
      <w:pPr>
        <w:rPr>
          <w:color w:val="1F497D"/>
        </w:rPr>
      </w:pPr>
    </w:p>
    <w:p w:rsidR="00645886" w:rsidRPr="00BB555E" w:rsidRDefault="00645886" w:rsidP="00645886">
      <w:pPr>
        <w:rPr>
          <w:color w:val="1F497D"/>
        </w:rPr>
      </w:pPr>
      <w:r w:rsidRPr="00BB555E">
        <w:t xml:space="preserve">Similarly, staff in rural areas may need to either expand the geographic area used to search for comparables and/or establish rent reasonableness on the basis of fewer comparable units.  </w:t>
      </w:r>
    </w:p>
    <w:p w:rsidR="00645886" w:rsidRPr="00BB555E" w:rsidRDefault="00645886" w:rsidP="00645886"/>
    <w:p w:rsidR="00645886" w:rsidRPr="00BB555E" w:rsidRDefault="00645886" w:rsidP="00645886">
      <w:r w:rsidRPr="00BB555E">
        <w:t>Again, the documentation in the case files should contain complete documentation, and should outline staff steps, analysis, and conclusions so that an auditor or supervisor can understand the factors that contributed to the determination.</w:t>
      </w:r>
    </w:p>
    <w:p w:rsidR="00645886" w:rsidRPr="00BB555E" w:rsidRDefault="00645886" w:rsidP="00B94867"/>
    <w:p w:rsidR="00ED2020" w:rsidRPr="00BB555E" w:rsidRDefault="00645886" w:rsidP="003A6593">
      <w:pPr>
        <w:pStyle w:val="Heading1"/>
        <w:shd w:val="clear" w:color="auto" w:fill="FFFFFF" w:themeFill="background1"/>
        <w:spacing w:before="0" w:after="0"/>
        <w:rPr>
          <w:rFonts w:ascii="Times New Roman" w:hAnsi="Times New Roman"/>
          <w:sz w:val="24"/>
          <w:szCs w:val="24"/>
        </w:rPr>
      </w:pPr>
      <w:r w:rsidRPr="00BB555E">
        <w:rPr>
          <w:rFonts w:ascii="Times New Roman" w:hAnsi="Times New Roman"/>
          <w:sz w:val="24"/>
          <w:szCs w:val="24"/>
        </w:rPr>
        <w:t>Sources of Rental Housing Data</w:t>
      </w:r>
    </w:p>
    <w:p w:rsidR="00645886" w:rsidRPr="00BB555E" w:rsidRDefault="00645886" w:rsidP="00291C2C">
      <w:pPr>
        <w:pStyle w:val="Heading1"/>
        <w:spacing w:before="0" w:after="0"/>
        <w:rPr>
          <w:rFonts w:ascii="Times New Roman" w:hAnsi="Times New Roman"/>
          <w:sz w:val="24"/>
          <w:szCs w:val="24"/>
          <w:u w:val="single"/>
        </w:rPr>
      </w:pPr>
      <w:r w:rsidRPr="00BB555E">
        <w:rPr>
          <w:rFonts w:ascii="Times New Roman" w:hAnsi="Times New Roman"/>
          <w:b w:val="0"/>
          <w:sz w:val="24"/>
          <w:szCs w:val="24"/>
        </w:rPr>
        <w:t>Regardless of the methodology used to determine rent reasonableness, Lead/Sub Grantees should already be aware of sources of rental housing data to use in establishing comparable rents.</w:t>
      </w:r>
      <w:r w:rsidRPr="00BB555E">
        <w:rPr>
          <w:rFonts w:ascii="Times New Roman" w:hAnsi="Times New Roman"/>
          <w:sz w:val="24"/>
          <w:szCs w:val="24"/>
        </w:rPr>
        <w:t xml:space="preserve">  </w:t>
      </w:r>
    </w:p>
    <w:p w:rsidR="00645886" w:rsidRPr="00BB555E" w:rsidRDefault="00645886" w:rsidP="00645886"/>
    <w:p w:rsidR="00ED2020" w:rsidRPr="00BB555E" w:rsidRDefault="00645886" w:rsidP="003A6593">
      <w:pPr>
        <w:shd w:val="clear" w:color="auto" w:fill="FFFFFF" w:themeFill="background1"/>
        <w:rPr>
          <w:b/>
          <w:bCs/>
        </w:rPr>
      </w:pPr>
      <w:r w:rsidRPr="00BB555E">
        <w:rPr>
          <w:b/>
          <w:bCs/>
        </w:rPr>
        <w:t xml:space="preserve">Public </w:t>
      </w:r>
      <w:r w:rsidR="00B94867" w:rsidRPr="00BB555E">
        <w:rPr>
          <w:b/>
          <w:bCs/>
        </w:rPr>
        <w:t>Sources of D</w:t>
      </w:r>
      <w:r w:rsidRPr="00BB555E">
        <w:rPr>
          <w:b/>
          <w:bCs/>
        </w:rPr>
        <w:t>ata</w:t>
      </w:r>
    </w:p>
    <w:p w:rsidR="00645886" w:rsidRPr="00BB555E" w:rsidRDefault="00645886" w:rsidP="00645886">
      <w:r w:rsidRPr="00BB555E">
        <w:t>There may be organizations within the grantee state, county, or city that collect and aggregate data on the rental housing stock, such as a State or local Public</w:t>
      </w:r>
      <w:r w:rsidR="007F3434" w:rsidRPr="00BB555E">
        <w:t> Housing</w:t>
      </w:r>
      <w:r w:rsidRPr="00BB555E">
        <w:t xml:space="preserve"> Authority (PHA) or the local Chamber of Commerce. </w:t>
      </w:r>
    </w:p>
    <w:p w:rsidR="00645886" w:rsidRPr="00BB555E" w:rsidRDefault="00645886" w:rsidP="00645886">
      <w:pPr>
        <w:rPr>
          <w:color w:val="000000"/>
        </w:rPr>
      </w:pPr>
    </w:p>
    <w:p w:rsidR="00ED2020" w:rsidRPr="00BB555E" w:rsidRDefault="00645886" w:rsidP="003A6593">
      <w:pPr>
        <w:shd w:val="clear" w:color="auto" w:fill="FFFFFF" w:themeFill="background1"/>
        <w:autoSpaceDE w:val="0"/>
        <w:autoSpaceDN w:val="0"/>
        <w:rPr>
          <w:b/>
          <w:bCs/>
          <w:color w:val="000000"/>
        </w:rPr>
      </w:pPr>
      <w:r w:rsidRPr="00BB555E">
        <w:rPr>
          <w:b/>
          <w:bCs/>
          <w:color w:val="000000"/>
        </w:rPr>
        <w:t>Real Estate Advertisements and Contacts</w:t>
      </w:r>
    </w:p>
    <w:p w:rsidR="00645886" w:rsidRPr="00BB555E" w:rsidRDefault="00645886" w:rsidP="00645886">
      <w:pPr>
        <w:autoSpaceDE w:val="0"/>
        <w:autoSpaceDN w:val="0"/>
        <w:rPr>
          <w:color w:val="000000"/>
        </w:rPr>
      </w:pPr>
      <w:r w:rsidRPr="00BB555E">
        <w:rPr>
          <w:color w:val="000000"/>
        </w:rPr>
        <w:t>Ads in newspapers or online are simple ways to find comparable rents.  The following are potential sources of information:</w:t>
      </w:r>
    </w:p>
    <w:p w:rsidR="00B94867" w:rsidRPr="00BB555E" w:rsidRDefault="00B94867" w:rsidP="00645886">
      <w:pPr>
        <w:autoSpaceDE w:val="0"/>
        <w:autoSpaceDN w:val="0"/>
        <w:rPr>
          <w:color w:val="000000"/>
        </w:rPr>
      </w:pPr>
    </w:p>
    <w:p w:rsidR="00645886" w:rsidRDefault="00645886" w:rsidP="00760B91">
      <w:pPr>
        <w:numPr>
          <w:ilvl w:val="0"/>
          <w:numId w:val="35"/>
        </w:numPr>
        <w:tabs>
          <w:tab w:val="clear" w:pos="1080"/>
          <w:tab w:val="left" w:pos="720"/>
        </w:tabs>
        <w:autoSpaceDE w:val="0"/>
        <w:autoSpaceDN w:val="0"/>
        <w:ind w:left="720"/>
        <w:rPr>
          <w:color w:val="000000"/>
        </w:rPr>
      </w:pPr>
      <w:r w:rsidRPr="00BB555E">
        <w:rPr>
          <w:color w:val="000000"/>
        </w:rPr>
        <w:t>Newspaper ads (including internet versions of newspaper ads);</w:t>
      </w:r>
    </w:p>
    <w:p w:rsidR="003A6593" w:rsidRPr="003A6593" w:rsidRDefault="003A6593" w:rsidP="003A6593">
      <w:pPr>
        <w:tabs>
          <w:tab w:val="left" w:pos="720"/>
        </w:tabs>
        <w:autoSpaceDE w:val="0"/>
        <w:autoSpaceDN w:val="0"/>
        <w:ind w:left="720"/>
        <w:rPr>
          <w:color w:val="000000"/>
          <w:sz w:val="16"/>
          <w:szCs w:val="16"/>
        </w:rPr>
      </w:pPr>
    </w:p>
    <w:p w:rsidR="00645886" w:rsidRPr="00BB555E" w:rsidRDefault="00645886" w:rsidP="00760B91">
      <w:pPr>
        <w:numPr>
          <w:ilvl w:val="0"/>
          <w:numId w:val="35"/>
        </w:numPr>
        <w:tabs>
          <w:tab w:val="clear" w:pos="1080"/>
          <w:tab w:val="left" w:pos="720"/>
        </w:tabs>
        <w:autoSpaceDE w:val="0"/>
        <w:autoSpaceDN w:val="0"/>
        <w:ind w:left="720"/>
        <w:rPr>
          <w:color w:val="000000"/>
        </w:rPr>
      </w:pPr>
      <w:r w:rsidRPr="00BB555E">
        <w:rPr>
          <w:color w:val="000000"/>
        </w:rPr>
        <w:t>Weekly or monthly neighborhood or shopper newspapers that have rental listings;</w:t>
      </w:r>
    </w:p>
    <w:p w:rsidR="003A6593" w:rsidRPr="003A6593" w:rsidRDefault="003A6593" w:rsidP="003A6593">
      <w:pPr>
        <w:tabs>
          <w:tab w:val="left" w:pos="720"/>
        </w:tabs>
        <w:autoSpaceDE w:val="0"/>
        <w:autoSpaceDN w:val="0"/>
        <w:ind w:left="720"/>
        <w:rPr>
          <w:color w:val="000000"/>
          <w:sz w:val="16"/>
          <w:szCs w:val="16"/>
        </w:rPr>
      </w:pPr>
    </w:p>
    <w:p w:rsidR="00645886" w:rsidRPr="00BB555E" w:rsidRDefault="00645886" w:rsidP="00760B91">
      <w:pPr>
        <w:numPr>
          <w:ilvl w:val="0"/>
          <w:numId w:val="35"/>
        </w:numPr>
        <w:tabs>
          <w:tab w:val="clear" w:pos="1080"/>
          <w:tab w:val="left" w:pos="720"/>
        </w:tabs>
        <w:autoSpaceDE w:val="0"/>
        <w:autoSpaceDN w:val="0"/>
        <w:ind w:left="720"/>
        <w:rPr>
          <w:color w:val="000000"/>
        </w:rPr>
      </w:pPr>
      <w:r w:rsidRPr="00BB555E">
        <w:rPr>
          <w:color w:val="000000"/>
        </w:rPr>
        <w:t xml:space="preserve">“For Rent” signs in windows or on lawns; </w:t>
      </w:r>
    </w:p>
    <w:p w:rsidR="003A6593" w:rsidRPr="003A6593" w:rsidRDefault="003A6593" w:rsidP="003A6593">
      <w:pPr>
        <w:tabs>
          <w:tab w:val="left" w:pos="720"/>
        </w:tabs>
        <w:autoSpaceDE w:val="0"/>
        <w:autoSpaceDN w:val="0"/>
        <w:ind w:left="720"/>
        <w:rPr>
          <w:color w:val="000000"/>
          <w:sz w:val="16"/>
          <w:szCs w:val="16"/>
        </w:rPr>
      </w:pPr>
    </w:p>
    <w:p w:rsidR="00645886" w:rsidRPr="00BB555E" w:rsidRDefault="00645886" w:rsidP="00760B91">
      <w:pPr>
        <w:numPr>
          <w:ilvl w:val="0"/>
          <w:numId w:val="35"/>
        </w:numPr>
        <w:tabs>
          <w:tab w:val="clear" w:pos="1080"/>
          <w:tab w:val="left" w:pos="720"/>
        </w:tabs>
        <w:autoSpaceDE w:val="0"/>
        <w:autoSpaceDN w:val="0"/>
        <w:ind w:left="720"/>
        <w:rPr>
          <w:color w:val="000000"/>
        </w:rPr>
      </w:pPr>
      <w:r w:rsidRPr="00BB555E">
        <w:rPr>
          <w:color w:val="000000"/>
        </w:rPr>
        <w:t xml:space="preserve">Real estate agents; and </w:t>
      </w:r>
    </w:p>
    <w:p w:rsidR="003A6593" w:rsidRPr="00060AC7" w:rsidRDefault="003A6593" w:rsidP="003A6593">
      <w:pPr>
        <w:tabs>
          <w:tab w:val="left" w:pos="720"/>
        </w:tabs>
        <w:autoSpaceDE w:val="0"/>
        <w:autoSpaceDN w:val="0"/>
        <w:ind w:left="720"/>
        <w:rPr>
          <w:sz w:val="16"/>
          <w:szCs w:val="16"/>
        </w:rPr>
      </w:pPr>
    </w:p>
    <w:p w:rsidR="00645886" w:rsidRDefault="00645886" w:rsidP="00760B91">
      <w:pPr>
        <w:numPr>
          <w:ilvl w:val="0"/>
          <w:numId w:val="35"/>
        </w:numPr>
        <w:tabs>
          <w:tab w:val="clear" w:pos="1080"/>
          <w:tab w:val="left" w:pos="720"/>
        </w:tabs>
        <w:autoSpaceDE w:val="0"/>
        <w:autoSpaceDN w:val="0"/>
        <w:ind w:left="720"/>
      </w:pPr>
      <w:r w:rsidRPr="00BB555E">
        <w:rPr>
          <w:color w:val="000000"/>
        </w:rPr>
        <w:t xml:space="preserve">Property management </w:t>
      </w:r>
      <w:r w:rsidRPr="00BB555E">
        <w:t>companies that handle rental property.</w:t>
      </w:r>
    </w:p>
    <w:p w:rsidR="00060AC7" w:rsidRPr="00060AC7" w:rsidRDefault="00060AC7" w:rsidP="00060AC7">
      <w:pPr>
        <w:tabs>
          <w:tab w:val="left" w:pos="720"/>
        </w:tabs>
        <w:autoSpaceDE w:val="0"/>
        <w:autoSpaceDN w:val="0"/>
        <w:rPr>
          <w:sz w:val="16"/>
          <w:szCs w:val="16"/>
        </w:rPr>
      </w:pPr>
    </w:p>
    <w:p w:rsidR="00C2019E" w:rsidRPr="00D161A1" w:rsidRDefault="00645886" w:rsidP="00760B91">
      <w:pPr>
        <w:pStyle w:val="ListParagraph"/>
        <w:numPr>
          <w:ilvl w:val="0"/>
          <w:numId w:val="35"/>
        </w:numPr>
        <w:tabs>
          <w:tab w:val="clear" w:pos="1080"/>
          <w:tab w:val="num" w:pos="720"/>
        </w:tabs>
        <w:autoSpaceDE w:val="0"/>
        <w:autoSpaceDN w:val="0"/>
        <w:spacing w:after="120"/>
        <w:ind w:left="720"/>
        <w:rPr>
          <w:b/>
          <w:bCs/>
          <w:u w:val="single"/>
        </w:rPr>
      </w:pPr>
      <w:r w:rsidRPr="00BB555E">
        <w:t>Rental Listing websites including</w:t>
      </w:r>
      <w:r w:rsidR="00D161A1">
        <w:t xml:space="preserve"> </w:t>
      </w:r>
      <w:hyperlink r:id="rId34" w:history="1">
        <w:r w:rsidR="00AE2836" w:rsidRPr="00BB555E">
          <w:rPr>
            <w:rStyle w:val="Hyperlink"/>
          </w:rPr>
          <w:t>www.apartmentguide.com</w:t>
        </w:r>
      </w:hyperlink>
      <w:r w:rsidR="00D161A1">
        <w:t xml:space="preserve">, </w:t>
      </w:r>
      <w:hyperlink r:id="rId35" w:history="1">
        <w:r w:rsidRPr="00BB555E">
          <w:rPr>
            <w:rStyle w:val="Hyperlink"/>
          </w:rPr>
          <w:t>www.apartments.com</w:t>
        </w:r>
      </w:hyperlink>
      <w:r w:rsidR="00D161A1">
        <w:t xml:space="preserve">, </w:t>
      </w:r>
      <w:hyperlink r:id="rId36" w:history="1">
        <w:r w:rsidRPr="00BB555E">
          <w:rPr>
            <w:rStyle w:val="Hyperlink"/>
          </w:rPr>
          <w:t>www.forrentmag.com</w:t>
        </w:r>
      </w:hyperlink>
      <w:r w:rsidR="00D161A1">
        <w:t xml:space="preserve">, </w:t>
      </w:r>
      <w:hyperlink r:id="rId37" w:history="1">
        <w:r w:rsidRPr="00BB555E">
          <w:rPr>
            <w:rStyle w:val="Hyperlink"/>
          </w:rPr>
          <w:t>http://www.move.com/apartments/main.aspx</w:t>
        </w:r>
      </w:hyperlink>
      <w:r w:rsidR="00D161A1">
        <w:t xml:space="preserve">, and </w:t>
      </w:r>
      <w:r w:rsidR="00337585" w:rsidRPr="00D161A1">
        <w:rPr>
          <w:b/>
          <w:bCs/>
          <w:u w:val="single"/>
        </w:rPr>
        <w:t xml:space="preserve"> </w:t>
      </w:r>
      <w:hyperlink r:id="rId38" w:history="1">
        <w:r w:rsidR="00C2019E" w:rsidRPr="00D161A1">
          <w:rPr>
            <w:rStyle w:val="Hyperlink"/>
            <w:bCs/>
          </w:rPr>
          <w:t>www.apartmentlist.com</w:t>
        </w:r>
      </w:hyperlink>
    </w:p>
    <w:p w:rsidR="009C5FF5" w:rsidRPr="00BB555E" w:rsidRDefault="009C5FF5" w:rsidP="00645886">
      <w:pPr>
        <w:rPr>
          <w:bCs/>
        </w:rPr>
      </w:pPr>
    </w:p>
    <w:p w:rsidR="00645886" w:rsidRDefault="00645886" w:rsidP="003A6593">
      <w:pPr>
        <w:shd w:val="clear" w:color="auto" w:fill="FFFFFF" w:themeFill="background1"/>
      </w:pPr>
      <w:r w:rsidRPr="00BB555E">
        <w:rPr>
          <w:b/>
          <w:bCs/>
        </w:rPr>
        <w:t>Rental Market Studies and Surveys</w:t>
      </w:r>
      <w:r w:rsidRPr="00BB555E">
        <w:t xml:space="preserve">  </w:t>
      </w:r>
    </w:p>
    <w:p w:rsidR="003A6593" w:rsidRPr="00BB555E" w:rsidRDefault="003A6593" w:rsidP="003A6593">
      <w:pPr>
        <w:shd w:val="clear" w:color="auto" w:fill="FFFFFF" w:themeFill="background1"/>
      </w:pPr>
    </w:p>
    <w:p w:rsidR="00645886" w:rsidRPr="00BB555E" w:rsidRDefault="00645886" w:rsidP="00760B91">
      <w:pPr>
        <w:pStyle w:val="ListParagraph"/>
        <w:numPr>
          <w:ilvl w:val="0"/>
          <w:numId w:val="41"/>
        </w:numPr>
        <w:tabs>
          <w:tab w:val="clear" w:pos="1080"/>
          <w:tab w:val="num" w:pos="720"/>
        </w:tabs>
        <w:autoSpaceDE w:val="0"/>
        <w:autoSpaceDN w:val="0"/>
        <w:ind w:left="720"/>
      </w:pPr>
      <w:r w:rsidRPr="00BB555E">
        <w:t xml:space="preserve">A </w:t>
      </w:r>
      <w:r w:rsidRPr="00BB555E">
        <w:rPr>
          <w:i/>
          <w:iCs/>
        </w:rPr>
        <w:t xml:space="preserve">Rental Market Study </w:t>
      </w:r>
      <w:r w:rsidRPr="00BB555E">
        <w:t xml:space="preserve">is an in-depth analysis of a particular rental market.  These are often prepared by independent organizations for specific communities.  Also, commercial firms will frequently conduct these studies before developing rental housing in a particular location.  Rental market studies can provide a good source of data upon which to base a rent reasonableness policy.  Appraisals of particular properties and market studies for these properties are also useful in establishing comparable rents, but they are generally prepared by certified real estate appraisers or researchers and are both time-consuming and expensive.  </w:t>
      </w:r>
    </w:p>
    <w:p w:rsidR="00645886" w:rsidRPr="00060AC7" w:rsidRDefault="00645886" w:rsidP="00645886">
      <w:pPr>
        <w:rPr>
          <w:sz w:val="16"/>
          <w:szCs w:val="16"/>
        </w:rPr>
      </w:pPr>
    </w:p>
    <w:p w:rsidR="00645886" w:rsidRPr="00BB555E" w:rsidRDefault="00645886" w:rsidP="00760B91">
      <w:pPr>
        <w:pStyle w:val="ListParagraph"/>
        <w:numPr>
          <w:ilvl w:val="0"/>
          <w:numId w:val="17"/>
        </w:numPr>
        <w:tabs>
          <w:tab w:val="clear" w:pos="1080"/>
          <w:tab w:val="num" w:pos="720"/>
        </w:tabs>
        <w:autoSpaceDE w:val="0"/>
        <w:autoSpaceDN w:val="0"/>
        <w:ind w:left="720"/>
      </w:pPr>
      <w:r w:rsidRPr="00BB555E">
        <w:t>A</w:t>
      </w:r>
      <w:r w:rsidRPr="00BB555E">
        <w:rPr>
          <w:i/>
          <w:iCs/>
        </w:rPr>
        <w:t xml:space="preserve"> Rental Market Survey </w:t>
      </w:r>
      <w:r w:rsidRPr="00BB555E">
        <w:t xml:space="preserve">is a survey of various landlords and property management companies in the area.  Some local governments conduct surveys to assist with planning activities.  Additionally, local associations of rental owners and managers may survey their members periodically and publish the results.  Many of these surveys report average rents and/or rent ranges by bedroom category and submarket location.  However, such surveys frequently do not have all the detailed information required for rent reasonableness comparisons.  </w:t>
      </w:r>
    </w:p>
    <w:p w:rsidR="00645886" w:rsidRPr="00BB555E" w:rsidRDefault="00645886" w:rsidP="00645886">
      <w:pPr>
        <w:autoSpaceDE w:val="0"/>
        <w:autoSpaceDN w:val="0"/>
      </w:pPr>
    </w:p>
    <w:p w:rsidR="00645886" w:rsidRPr="00BB555E" w:rsidRDefault="00645886" w:rsidP="00A708CB">
      <w:pPr>
        <w:autoSpaceDE w:val="0"/>
        <w:autoSpaceDN w:val="0"/>
        <w:ind w:left="720"/>
      </w:pPr>
      <w:r w:rsidRPr="00BB555E">
        <w:t>When deciding whether to use a study or a survey, it is important to note that many rental market surveys are designed to show the overall picture of the rental market and may not be very useful in evaluating the rent for a particular unit type.  On the other hand, a rental market study may be narrowly focused on a particular type of rental housing and might be useful only for certain housing units assisted.</w:t>
      </w:r>
    </w:p>
    <w:p w:rsidR="00645886" w:rsidRPr="00BB555E" w:rsidRDefault="00645886" w:rsidP="00A708CB">
      <w:pPr>
        <w:autoSpaceDE w:val="0"/>
        <w:autoSpaceDN w:val="0"/>
        <w:ind w:left="720"/>
      </w:pPr>
    </w:p>
    <w:p w:rsidR="00645886" w:rsidRPr="00BB555E" w:rsidRDefault="00ED2020" w:rsidP="00A708CB">
      <w:pPr>
        <w:autoSpaceDE w:val="0"/>
        <w:autoSpaceDN w:val="0"/>
        <w:ind w:left="720"/>
        <w:rPr>
          <w:iCs/>
        </w:rPr>
      </w:pPr>
      <w:r w:rsidRPr="00BB555E">
        <w:rPr>
          <w:iCs/>
        </w:rPr>
        <w:t xml:space="preserve">Tip: </w:t>
      </w:r>
      <w:r w:rsidR="00645886" w:rsidRPr="00BB555E">
        <w:rPr>
          <w:iCs/>
        </w:rPr>
        <w:t xml:space="preserve">When using either a market study or a market survey, it is very important to understand what is and is not </w:t>
      </w:r>
      <w:r w:rsidR="0063105F" w:rsidRPr="00BB555E">
        <w:rPr>
          <w:iCs/>
        </w:rPr>
        <w:t>incl</w:t>
      </w:r>
      <w:bookmarkStart w:id="0" w:name="_GoBack"/>
      <w:bookmarkEnd w:id="0"/>
      <w:r w:rsidR="0063105F" w:rsidRPr="00BB555E">
        <w:rPr>
          <w:iCs/>
        </w:rPr>
        <w:t>uded in the rent reported. </w:t>
      </w:r>
      <w:r w:rsidR="00645886" w:rsidRPr="00BB555E">
        <w:rPr>
          <w:iCs/>
        </w:rPr>
        <w:t>Some surveys/studies report rents with all utilities included, some without utilities included, and others with only the most typical set of utilities included.  When comparing unassisted units with CHG-assisted units, it is important to consider whether utilities and other amenities are included.  </w:t>
      </w:r>
    </w:p>
    <w:p w:rsidR="00645886" w:rsidRDefault="00645886" w:rsidP="00645886">
      <w:pPr>
        <w:autoSpaceDE w:val="0"/>
        <w:autoSpaceDN w:val="0"/>
      </w:pPr>
    </w:p>
    <w:p w:rsidR="00ED2020" w:rsidRPr="00BB555E" w:rsidRDefault="00645886" w:rsidP="00A708CB">
      <w:pPr>
        <w:shd w:val="clear" w:color="auto" w:fill="FFFFFF" w:themeFill="background1"/>
        <w:rPr>
          <w:b/>
          <w:bCs/>
        </w:rPr>
      </w:pPr>
      <w:r w:rsidRPr="00BB555E">
        <w:rPr>
          <w:b/>
          <w:bCs/>
        </w:rPr>
        <w:t>Rental Database</w:t>
      </w:r>
    </w:p>
    <w:p w:rsidR="00ED2020" w:rsidRPr="00BB555E" w:rsidRDefault="00645886" w:rsidP="00645886">
      <w:r w:rsidRPr="00BB555E">
        <w:t xml:space="preserve">Some </w:t>
      </w:r>
      <w:r w:rsidR="007B2DE5" w:rsidRPr="00162B76">
        <w:t xml:space="preserve">Lead/Sub Grantees </w:t>
      </w:r>
      <w:r w:rsidRPr="00BB555E">
        <w:t>have found it useful to build a rental database for CHG, in order to search for comparable rents more efficiently. Building a rental database allows the majority of work to be completed on the front end, which eases the rent reasonableness determination and allows assistance to be provided more quickly.</w:t>
      </w:r>
    </w:p>
    <w:p w:rsidR="00645886" w:rsidRPr="00BB555E" w:rsidRDefault="00645886" w:rsidP="00645886">
      <w:r w:rsidRPr="00BB555E">
        <w:t xml:space="preserve">   </w:t>
      </w:r>
    </w:p>
    <w:p w:rsidR="00ED2020" w:rsidRPr="00BB555E" w:rsidRDefault="00645886" w:rsidP="00A708CB">
      <w:pPr>
        <w:pStyle w:val="Heading1"/>
        <w:shd w:val="clear" w:color="auto" w:fill="FFFFFF" w:themeFill="background1"/>
        <w:spacing w:before="0" w:after="0"/>
        <w:rPr>
          <w:rFonts w:ascii="Times New Roman" w:hAnsi="Times New Roman"/>
          <w:sz w:val="24"/>
          <w:szCs w:val="24"/>
        </w:rPr>
      </w:pPr>
      <w:r w:rsidRPr="00BB555E">
        <w:rPr>
          <w:rFonts w:ascii="Times New Roman" w:hAnsi="Times New Roman"/>
          <w:sz w:val="24"/>
          <w:szCs w:val="24"/>
        </w:rPr>
        <w:lastRenderedPageBreak/>
        <w:t>Data in Rural Areas</w:t>
      </w:r>
    </w:p>
    <w:p w:rsidR="00CA24FE" w:rsidRPr="00BB555E" w:rsidRDefault="00645886" w:rsidP="00A708CB">
      <w:pPr>
        <w:pStyle w:val="Heading1"/>
        <w:spacing w:before="0"/>
        <w:rPr>
          <w:rFonts w:ascii="Times New Roman" w:hAnsi="Times New Roman"/>
          <w:sz w:val="24"/>
          <w:szCs w:val="24"/>
          <w:u w:val="single"/>
        </w:rPr>
      </w:pPr>
      <w:r w:rsidRPr="00BB555E">
        <w:rPr>
          <w:rFonts w:ascii="Times New Roman" w:hAnsi="Times New Roman"/>
          <w:b w:val="0"/>
          <w:sz w:val="24"/>
          <w:szCs w:val="24"/>
        </w:rPr>
        <w:t>While there may be fewer rental units in rural areas than in urban and suburban areas, it is possible to find comparable rents or establish rent payment standards for different unit types located in these areas.</w:t>
      </w:r>
    </w:p>
    <w:p w:rsidR="00645886" w:rsidRPr="00BB555E" w:rsidRDefault="00645886" w:rsidP="00645886">
      <w:pPr>
        <w:rPr>
          <w:rFonts w:eastAsia="Calibri"/>
        </w:rPr>
      </w:pPr>
      <w:r w:rsidRPr="00BB555E">
        <w:t xml:space="preserve"> </w:t>
      </w:r>
    </w:p>
    <w:p w:rsidR="00645886" w:rsidRPr="00BB555E" w:rsidRDefault="00645886" w:rsidP="00760B91">
      <w:pPr>
        <w:pStyle w:val="ListParagraph"/>
        <w:numPr>
          <w:ilvl w:val="0"/>
          <w:numId w:val="36"/>
        </w:numPr>
        <w:spacing w:after="120"/>
      </w:pPr>
      <w:r w:rsidRPr="00BB555E">
        <w:t xml:space="preserve">One source of rental housing data for rural areas may be the US Department of Agriculture’s Rural Development Agency.  USDA provides direct and guaranteed loans for single and multi-family housing development in rural areas as well as for farm laborers.  Contact information for Rural Development State and Local Offices or USDA Service Centers is available at </w:t>
      </w:r>
      <w:hyperlink r:id="rId39" w:history="1">
        <w:r w:rsidRPr="00BB555E">
          <w:rPr>
            <w:rStyle w:val="Hyperlink"/>
          </w:rPr>
          <w:t>http://www.rurdev.usda.gov/recd_map.html</w:t>
        </w:r>
      </w:hyperlink>
      <w:r w:rsidRPr="00BB555E">
        <w:t>.  Each Rural Development Office, if it has a Rural Housing component, should have information on the types of rental housing available in various communities throughout the state, as well as unit sizes and rents.</w:t>
      </w:r>
    </w:p>
    <w:p w:rsidR="00645886" w:rsidRPr="00BB555E" w:rsidRDefault="00645886" w:rsidP="00760B91">
      <w:pPr>
        <w:pStyle w:val="ListParagraph"/>
        <w:numPr>
          <w:ilvl w:val="0"/>
          <w:numId w:val="36"/>
        </w:numPr>
        <w:spacing w:after="120"/>
      </w:pPr>
      <w:r w:rsidRPr="00BB555E">
        <w:t xml:space="preserve">Some rural communities are also under the jurisdiction of </w:t>
      </w:r>
      <w:r w:rsidR="00AE2836" w:rsidRPr="00BB555E">
        <w:t>Public Housing Authorities (</w:t>
      </w:r>
      <w:r w:rsidRPr="00BB555E">
        <w:t>PHAs</w:t>
      </w:r>
      <w:r w:rsidR="00AE2836" w:rsidRPr="00BB555E">
        <w:t>)</w:t>
      </w:r>
      <w:r w:rsidRPr="00BB555E">
        <w:t xml:space="preserve">.  In these cases, the PHA may be a source of comparable rent data.   </w:t>
      </w:r>
    </w:p>
    <w:p w:rsidR="00ED2020" w:rsidRPr="00BB555E" w:rsidRDefault="00645886" w:rsidP="00760B91">
      <w:pPr>
        <w:pStyle w:val="ListParagraph"/>
        <w:numPr>
          <w:ilvl w:val="0"/>
          <w:numId w:val="36"/>
        </w:numPr>
        <w:spacing w:after="120"/>
      </w:pPr>
      <w:r w:rsidRPr="00BB555E">
        <w:t>Another potential source of comparable rent data are real estate agents.  Local real estate agents are not only knowledgeable about real estate prices but often are a source of information on rental housing in the area.  They may be able to extrapolate rent comparables based on the general cost of housing in the area.  To find real estate agents act</w:t>
      </w:r>
      <w:r w:rsidR="007B2DE5">
        <w:t xml:space="preserve">ive in particular communities, </w:t>
      </w:r>
      <w:r w:rsidR="007B2DE5" w:rsidRPr="00162B76">
        <w:t>Lead/Sub Grantees</w:t>
      </w:r>
      <w:r w:rsidRPr="00BB555E">
        <w:t xml:space="preserve"> can consult the National Association of Realtors on the web at </w:t>
      </w:r>
      <w:hyperlink r:id="rId40" w:history="1">
        <w:r w:rsidRPr="00BB555E">
          <w:rPr>
            <w:rStyle w:val="Hyperlink"/>
          </w:rPr>
          <w:t>http://www.realtor.org/</w:t>
        </w:r>
      </w:hyperlink>
      <w:r w:rsidRPr="00BB555E">
        <w:t>.  For demographic information on the housi</w:t>
      </w:r>
      <w:r w:rsidR="007B2DE5">
        <w:t>ng stock, market trends, etc., G</w:t>
      </w:r>
      <w:r w:rsidRPr="00BB555E">
        <w:t xml:space="preserve">rantees should access </w:t>
      </w:r>
      <w:hyperlink r:id="rId41" w:history="1">
        <w:r w:rsidRPr="00BB555E">
          <w:rPr>
            <w:rStyle w:val="Hyperlink"/>
          </w:rPr>
          <w:t>http://www.realtor.org/research</w:t>
        </w:r>
      </w:hyperlink>
      <w:r w:rsidRPr="00BB555E">
        <w:t xml:space="preserve">. </w:t>
      </w:r>
      <w:r w:rsidR="00ED2020" w:rsidRPr="00BB555E">
        <w:br w:type="page"/>
      </w:r>
    </w:p>
    <w:p w:rsidR="00FE5BB8" w:rsidRPr="00BB555E" w:rsidRDefault="00903764" w:rsidP="00B95D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C87654">
        <w:rPr>
          <w:b/>
          <w:bCs/>
          <w:sz w:val="28"/>
          <w:szCs w:val="28"/>
        </w:rPr>
        <w:lastRenderedPageBreak/>
        <w:t>Appendix E</w:t>
      </w:r>
    </w:p>
    <w:p w:rsidR="00620D09" w:rsidRPr="00BB555E" w:rsidRDefault="00620D09" w:rsidP="00B95D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16"/>
          <w:szCs w:val="16"/>
        </w:rPr>
      </w:pPr>
    </w:p>
    <w:p w:rsidR="00A30482" w:rsidRPr="00BB555E" w:rsidRDefault="003713B5" w:rsidP="00B95D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BB555E">
        <w:rPr>
          <w:b/>
          <w:bCs/>
          <w:sz w:val="28"/>
          <w:szCs w:val="28"/>
        </w:rPr>
        <w:t>Step by Step Guide to Compli</w:t>
      </w:r>
      <w:r w:rsidR="00A30482" w:rsidRPr="00BB555E">
        <w:rPr>
          <w:b/>
          <w:bCs/>
          <w:sz w:val="28"/>
          <w:szCs w:val="28"/>
        </w:rPr>
        <w:t xml:space="preserve">ance with </w:t>
      </w:r>
    </w:p>
    <w:p w:rsidR="003713B5" w:rsidRPr="00BB555E" w:rsidRDefault="00A30482" w:rsidP="00B95D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28"/>
          <w:szCs w:val="28"/>
        </w:rPr>
      </w:pPr>
      <w:r w:rsidRPr="00BB555E">
        <w:rPr>
          <w:b/>
          <w:bCs/>
          <w:sz w:val="28"/>
          <w:szCs w:val="28"/>
        </w:rPr>
        <w:t xml:space="preserve">Lead Based </w:t>
      </w:r>
      <w:r w:rsidR="002C16E9" w:rsidRPr="00BB555E">
        <w:rPr>
          <w:b/>
          <w:bCs/>
          <w:sz w:val="28"/>
          <w:szCs w:val="28"/>
        </w:rPr>
        <w:t xml:space="preserve">Paint </w:t>
      </w:r>
      <w:r w:rsidR="00C2607D" w:rsidRPr="00BB555E">
        <w:rPr>
          <w:b/>
          <w:bCs/>
          <w:sz w:val="28"/>
          <w:szCs w:val="28"/>
        </w:rPr>
        <w:t>Visual Assessment</w:t>
      </w:r>
      <w:r w:rsidRPr="00BB555E">
        <w:rPr>
          <w:b/>
          <w:bCs/>
          <w:sz w:val="28"/>
          <w:szCs w:val="28"/>
        </w:rPr>
        <w:t xml:space="preserve"> </w:t>
      </w:r>
      <w:r w:rsidR="003713B5" w:rsidRPr="00BB555E">
        <w:rPr>
          <w:b/>
          <w:bCs/>
          <w:sz w:val="28"/>
          <w:szCs w:val="28"/>
        </w:rPr>
        <w:t>Requirement</w:t>
      </w:r>
      <w:r w:rsidR="00442AD4" w:rsidRPr="00BB555E">
        <w:rPr>
          <w:b/>
          <w:bCs/>
          <w:sz w:val="28"/>
          <w:szCs w:val="28"/>
        </w:rPr>
        <w:t>s</w:t>
      </w:r>
    </w:p>
    <w:p w:rsidR="003713B5" w:rsidRPr="00BB555E" w:rsidRDefault="003713B5" w:rsidP="005B558F">
      <w:pPr>
        <w:autoSpaceDE w:val="0"/>
        <w:autoSpaceDN w:val="0"/>
        <w:adjustRightInd w:val="0"/>
        <w:rPr>
          <w:bCs/>
          <w:color w:val="000000"/>
        </w:rPr>
      </w:pPr>
    </w:p>
    <w:p w:rsidR="00372EEC" w:rsidRPr="00BB555E" w:rsidRDefault="00372EEC" w:rsidP="005B558F">
      <w:pPr>
        <w:autoSpaceDE w:val="0"/>
        <w:autoSpaceDN w:val="0"/>
        <w:adjustRightInd w:val="0"/>
        <w:rPr>
          <w:bCs/>
          <w:color w:val="000000"/>
        </w:rPr>
      </w:pPr>
      <w:r w:rsidRPr="00BB555E">
        <w:t>Childhood lead poisoning is a major environmental health problem in the United States, especially for low</w:t>
      </w:r>
      <w:r w:rsidRPr="00BB555E">
        <w:rPr>
          <w:rFonts w:ascii="Calibri" w:hAnsi="Calibri"/>
        </w:rPr>
        <w:t>‐</w:t>
      </w:r>
      <w:r w:rsidRPr="00BB555E">
        <w:t>income families in poor living conditions. If not detected early, children with high levels of lead in their bodies can suffer from damage to the brain and nervous system, behavioral and learning problems (such as hyperactivity), slowed growth, hearing problems, and headaches. To prevent lead</w:t>
      </w:r>
      <w:r w:rsidRPr="00BB555E">
        <w:rPr>
          <w:rFonts w:ascii="Calibri" w:hAnsi="Calibri"/>
        </w:rPr>
        <w:t>‐</w:t>
      </w:r>
      <w:r w:rsidRPr="00BB555E">
        <w:t>poisoning in</w:t>
      </w:r>
      <w:r w:rsidR="00E25937" w:rsidRPr="00BB555E">
        <w:t xml:space="preserve"> </w:t>
      </w:r>
      <w:r w:rsidRPr="00BB555E">
        <w:t>young children, Lead/Sub Grantees must comply with the Lead</w:t>
      </w:r>
      <w:r w:rsidRPr="00BB555E">
        <w:rPr>
          <w:rFonts w:ascii="Calibri" w:hAnsi="Calibri"/>
        </w:rPr>
        <w:t>‐</w:t>
      </w:r>
      <w:r w:rsidRPr="00BB555E">
        <w:t xml:space="preserve">Based Paint Poisoning Prevention Act of 1973 and its applicable regulations found at 24 CFR 35, Parts A, B, M, and R. </w:t>
      </w:r>
    </w:p>
    <w:p w:rsidR="00ED75AF" w:rsidRPr="00BB555E" w:rsidRDefault="00ED75AF" w:rsidP="00ED75AF">
      <w:pPr>
        <w:ind w:left="360"/>
        <w:rPr>
          <w:b/>
          <w:bCs/>
        </w:rPr>
      </w:pPr>
    </w:p>
    <w:p w:rsidR="00ED75AF" w:rsidRPr="00BB555E" w:rsidRDefault="00ED75AF" w:rsidP="00A708CB">
      <w:pPr>
        <w:shd w:val="clear" w:color="auto" w:fill="FFFFFF" w:themeFill="background1"/>
        <w:rPr>
          <w:color w:val="000000"/>
        </w:rPr>
      </w:pPr>
      <w:r w:rsidRPr="00BB555E">
        <w:rPr>
          <w:b/>
          <w:bCs/>
        </w:rPr>
        <w:t xml:space="preserve">Disclosure </w:t>
      </w:r>
      <w:r w:rsidR="00A30482" w:rsidRPr="00BB555E">
        <w:rPr>
          <w:b/>
          <w:bCs/>
        </w:rPr>
        <w:t>Requirements</w:t>
      </w:r>
    </w:p>
    <w:p w:rsidR="005B558F" w:rsidRPr="00BB555E" w:rsidRDefault="005B558F" w:rsidP="005B558F">
      <w:pPr>
        <w:autoSpaceDE w:val="0"/>
        <w:autoSpaceDN w:val="0"/>
        <w:adjustRightInd w:val="0"/>
        <w:rPr>
          <w:color w:val="000000"/>
        </w:rPr>
      </w:pPr>
      <w:r w:rsidRPr="00BB555E">
        <w:rPr>
          <w:color w:val="000000"/>
        </w:rPr>
        <w:t xml:space="preserve">Disclosure requirements are triggered for ALL properties constructed prior to 1978. These requirements require that lessors (property owners or managers) provide tenants with: </w:t>
      </w:r>
    </w:p>
    <w:p w:rsidR="005B558F" w:rsidRPr="00BB555E" w:rsidRDefault="005B558F" w:rsidP="005B558F">
      <w:pPr>
        <w:autoSpaceDE w:val="0"/>
        <w:autoSpaceDN w:val="0"/>
        <w:adjustRightInd w:val="0"/>
        <w:rPr>
          <w:color w:val="000000"/>
        </w:rPr>
      </w:pPr>
    </w:p>
    <w:p w:rsidR="005B558F" w:rsidRPr="00BB555E" w:rsidRDefault="00921D7F" w:rsidP="00760B91">
      <w:pPr>
        <w:numPr>
          <w:ilvl w:val="0"/>
          <w:numId w:val="37"/>
        </w:numPr>
        <w:autoSpaceDE w:val="0"/>
        <w:autoSpaceDN w:val="0"/>
        <w:adjustRightInd w:val="0"/>
        <w:rPr>
          <w:color w:val="000000"/>
        </w:rPr>
      </w:pPr>
      <w:r w:rsidRPr="00BB555E">
        <w:rPr>
          <w:color w:val="000000"/>
        </w:rPr>
        <w:t>D</w:t>
      </w:r>
      <w:r w:rsidR="005B558F" w:rsidRPr="00BB555E">
        <w:rPr>
          <w:color w:val="000000"/>
        </w:rPr>
        <w:t>isclosure form for rental properties disclosing the presence of known and unknown lead</w:t>
      </w:r>
      <w:r w:rsidR="005B558F" w:rsidRPr="00BB555E">
        <w:rPr>
          <w:rFonts w:ascii="Calibri" w:hAnsi="Calibri"/>
          <w:color w:val="000000"/>
        </w:rPr>
        <w:t>‐</w:t>
      </w:r>
      <w:r w:rsidR="005B558F" w:rsidRPr="00BB555E">
        <w:rPr>
          <w:color w:val="000000"/>
        </w:rPr>
        <w:t>based paint;</w:t>
      </w:r>
    </w:p>
    <w:p w:rsidR="00372EEC" w:rsidRPr="00A708CB" w:rsidRDefault="00372EEC" w:rsidP="005B558F">
      <w:pPr>
        <w:autoSpaceDE w:val="0"/>
        <w:autoSpaceDN w:val="0"/>
        <w:adjustRightInd w:val="0"/>
        <w:rPr>
          <w:color w:val="000000"/>
          <w:sz w:val="16"/>
          <w:szCs w:val="16"/>
        </w:rPr>
      </w:pPr>
    </w:p>
    <w:p w:rsidR="005B558F" w:rsidRPr="00BB555E" w:rsidRDefault="00921D7F" w:rsidP="00760B91">
      <w:pPr>
        <w:numPr>
          <w:ilvl w:val="0"/>
          <w:numId w:val="37"/>
        </w:numPr>
        <w:autoSpaceDE w:val="0"/>
        <w:autoSpaceDN w:val="0"/>
        <w:adjustRightInd w:val="0"/>
        <w:rPr>
          <w:color w:val="000000"/>
        </w:rPr>
      </w:pPr>
      <w:r w:rsidRPr="00BB555E">
        <w:rPr>
          <w:color w:val="000000"/>
        </w:rPr>
        <w:t>A</w:t>
      </w:r>
      <w:r w:rsidR="005B558F" w:rsidRPr="00BB555E">
        <w:rPr>
          <w:color w:val="000000"/>
        </w:rPr>
        <w:t xml:space="preserve"> copy of the “Protect Your Family from Lead in the Home” pamphlet.</w:t>
      </w:r>
    </w:p>
    <w:p w:rsidR="005B558F" w:rsidRPr="00BB555E" w:rsidRDefault="005B558F" w:rsidP="005B558F">
      <w:pPr>
        <w:autoSpaceDE w:val="0"/>
        <w:autoSpaceDN w:val="0"/>
        <w:adjustRightInd w:val="0"/>
        <w:rPr>
          <w:color w:val="000000"/>
        </w:rPr>
      </w:pPr>
    </w:p>
    <w:p w:rsidR="005B558F" w:rsidRPr="00BB555E" w:rsidRDefault="005B558F" w:rsidP="005B558F">
      <w:pPr>
        <w:autoSpaceDE w:val="0"/>
        <w:autoSpaceDN w:val="0"/>
        <w:adjustRightInd w:val="0"/>
        <w:rPr>
          <w:color w:val="0000FF"/>
        </w:rPr>
      </w:pPr>
      <w:r w:rsidRPr="00BB555E">
        <w:rPr>
          <w:color w:val="000000"/>
        </w:rPr>
        <w:t>Both the disclosure form and pamphlet are available at:</w:t>
      </w:r>
      <w:r w:rsidR="00E25937" w:rsidRPr="00BB555E">
        <w:rPr>
          <w:color w:val="000000"/>
        </w:rPr>
        <w:t xml:space="preserve"> </w:t>
      </w:r>
      <w:hyperlink r:id="rId42" w:history="1">
        <w:r w:rsidRPr="00BB555E">
          <w:rPr>
            <w:rStyle w:val="Hyperlink"/>
          </w:rPr>
          <w:t>http://www.hud.gov/offices/lead/enforcement/disclosure.cfm</w:t>
        </w:r>
      </w:hyperlink>
    </w:p>
    <w:p w:rsidR="005B558F" w:rsidRPr="00BB555E" w:rsidRDefault="005B558F" w:rsidP="005B558F">
      <w:pPr>
        <w:autoSpaceDE w:val="0"/>
        <w:autoSpaceDN w:val="0"/>
        <w:adjustRightInd w:val="0"/>
        <w:rPr>
          <w:color w:val="0000FF"/>
        </w:rPr>
      </w:pPr>
    </w:p>
    <w:p w:rsidR="005B558F" w:rsidRPr="00BB555E" w:rsidRDefault="00E25937" w:rsidP="005B558F">
      <w:pPr>
        <w:autoSpaceDE w:val="0"/>
        <w:autoSpaceDN w:val="0"/>
        <w:adjustRightInd w:val="0"/>
        <w:rPr>
          <w:color w:val="000000"/>
        </w:rPr>
      </w:pPr>
      <w:r w:rsidRPr="00BB555E">
        <w:rPr>
          <w:color w:val="000000"/>
        </w:rPr>
        <w:t>While t</w:t>
      </w:r>
      <w:r w:rsidR="005B558F" w:rsidRPr="00BB555E">
        <w:rPr>
          <w:color w:val="000000"/>
        </w:rPr>
        <w:t>his actually relates to property owners/managers, sharing this information with your clients (or ensuring they have received it) is an easy thing to do</w:t>
      </w:r>
      <w:r w:rsidRPr="00BB555E">
        <w:rPr>
          <w:color w:val="000000"/>
        </w:rPr>
        <w:t>.</w:t>
      </w:r>
      <w:r w:rsidR="005B558F" w:rsidRPr="00BB555E">
        <w:rPr>
          <w:color w:val="000000"/>
        </w:rPr>
        <w:t xml:space="preserve"> This is an important opportunity to educate clients about the potential hazards related to lead and their</w:t>
      </w:r>
      <w:r w:rsidR="00372EEC" w:rsidRPr="00BB555E">
        <w:rPr>
          <w:color w:val="000000"/>
        </w:rPr>
        <w:t xml:space="preserve"> </w:t>
      </w:r>
      <w:r w:rsidR="005B558F" w:rsidRPr="00BB555E">
        <w:rPr>
          <w:color w:val="000000"/>
        </w:rPr>
        <w:t>rights as tenants. Informed tenants are more likely to watch for potential problems in</w:t>
      </w:r>
      <w:r w:rsidR="00ED75AF" w:rsidRPr="00BB555E">
        <w:rPr>
          <w:color w:val="000000"/>
        </w:rPr>
        <w:t xml:space="preserve"> </w:t>
      </w:r>
      <w:r w:rsidR="005B558F" w:rsidRPr="00BB555E">
        <w:rPr>
          <w:color w:val="000000"/>
        </w:rPr>
        <w:t>their home and proactively work with landlords to address any issues.</w:t>
      </w:r>
    </w:p>
    <w:p w:rsidR="00ED75AF" w:rsidRPr="00BB555E" w:rsidRDefault="00ED75AF" w:rsidP="00176565">
      <w:pPr>
        <w:rPr>
          <w:b/>
          <w:bCs/>
        </w:rPr>
      </w:pPr>
    </w:p>
    <w:p w:rsidR="00176565" w:rsidRPr="00BB555E" w:rsidRDefault="00176565" w:rsidP="00A708CB">
      <w:pPr>
        <w:shd w:val="clear" w:color="auto" w:fill="FFFFFF" w:themeFill="background1"/>
        <w:rPr>
          <w:b/>
          <w:bCs/>
        </w:rPr>
      </w:pPr>
      <w:r w:rsidRPr="00BB555E">
        <w:rPr>
          <w:b/>
          <w:bCs/>
        </w:rPr>
        <w:t>Determining the Age of the Unit</w:t>
      </w:r>
    </w:p>
    <w:p w:rsidR="00176565" w:rsidRPr="00BB555E" w:rsidRDefault="00176565" w:rsidP="00176565">
      <w:pPr>
        <w:autoSpaceDE w:val="0"/>
        <w:autoSpaceDN w:val="0"/>
        <w:adjustRightInd w:val="0"/>
        <w:rPr>
          <w:color w:val="000000"/>
        </w:rPr>
      </w:pPr>
      <w:r w:rsidRPr="00BB555E">
        <w:rPr>
          <w:color w:val="000000"/>
        </w:rPr>
        <w:t>Lead/Sub Grantees should use formal public records, such as tax assessment records, to establish the</w:t>
      </w:r>
      <w:r w:rsidR="00373706" w:rsidRPr="00BB555E">
        <w:rPr>
          <w:color w:val="000000"/>
        </w:rPr>
        <w:t xml:space="preserve"> </w:t>
      </w:r>
      <w:r w:rsidRPr="00BB555E">
        <w:rPr>
          <w:color w:val="000000"/>
        </w:rPr>
        <w:t>age of a unit. These records are typically maintained by the state or county and will include the year built or age of the property. In most areas, these records are available online. If you are uncertain where to find this information, a quick internet search should help you locate the data you need. In the search field, try combining your county name with one of the following phrases:</w:t>
      </w:r>
    </w:p>
    <w:p w:rsidR="00176565" w:rsidRPr="00BB555E" w:rsidRDefault="00176565" w:rsidP="00176565">
      <w:pPr>
        <w:autoSpaceDE w:val="0"/>
        <w:autoSpaceDN w:val="0"/>
        <w:adjustRightInd w:val="0"/>
        <w:rPr>
          <w:color w:val="000000"/>
        </w:rPr>
      </w:pPr>
    </w:p>
    <w:p w:rsidR="00176565" w:rsidRDefault="00176565" w:rsidP="00760B91">
      <w:pPr>
        <w:numPr>
          <w:ilvl w:val="0"/>
          <w:numId w:val="38"/>
        </w:numPr>
        <w:autoSpaceDE w:val="0"/>
        <w:autoSpaceDN w:val="0"/>
        <w:adjustRightInd w:val="0"/>
        <w:rPr>
          <w:color w:val="000000"/>
        </w:rPr>
      </w:pPr>
      <w:r w:rsidRPr="00BB555E">
        <w:rPr>
          <w:color w:val="000000"/>
        </w:rPr>
        <w:t>“property tax records”</w:t>
      </w:r>
    </w:p>
    <w:p w:rsidR="00F74A2C" w:rsidRPr="00F74A2C" w:rsidRDefault="00F74A2C" w:rsidP="00F74A2C">
      <w:pPr>
        <w:autoSpaceDE w:val="0"/>
        <w:autoSpaceDN w:val="0"/>
        <w:adjustRightInd w:val="0"/>
        <w:ind w:left="720"/>
        <w:rPr>
          <w:color w:val="000000"/>
          <w:sz w:val="16"/>
          <w:szCs w:val="16"/>
        </w:rPr>
      </w:pPr>
    </w:p>
    <w:p w:rsidR="00176565" w:rsidRPr="00BB555E" w:rsidRDefault="00176565" w:rsidP="00760B91">
      <w:pPr>
        <w:numPr>
          <w:ilvl w:val="0"/>
          <w:numId w:val="38"/>
        </w:numPr>
        <w:autoSpaceDE w:val="0"/>
        <w:autoSpaceDN w:val="0"/>
        <w:adjustRightInd w:val="0"/>
        <w:rPr>
          <w:color w:val="000000"/>
        </w:rPr>
      </w:pPr>
      <w:r w:rsidRPr="00BB555E">
        <w:rPr>
          <w:color w:val="000000"/>
        </w:rPr>
        <w:t>“property tax database”</w:t>
      </w:r>
    </w:p>
    <w:p w:rsidR="00F74A2C" w:rsidRPr="00F74A2C" w:rsidRDefault="00F74A2C" w:rsidP="00F74A2C">
      <w:pPr>
        <w:autoSpaceDE w:val="0"/>
        <w:autoSpaceDN w:val="0"/>
        <w:adjustRightInd w:val="0"/>
        <w:ind w:left="720"/>
        <w:rPr>
          <w:color w:val="000000"/>
          <w:sz w:val="16"/>
          <w:szCs w:val="16"/>
        </w:rPr>
      </w:pPr>
    </w:p>
    <w:p w:rsidR="00176565" w:rsidRPr="00BB555E" w:rsidRDefault="00176565" w:rsidP="00760B91">
      <w:pPr>
        <w:numPr>
          <w:ilvl w:val="0"/>
          <w:numId w:val="38"/>
        </w:numPr>
        <w:autoSpaceDE w:val="0"/>
        <w:autoSpaceDN w:val="0"/>
        <w:adjustRightInd w:val="0"/>
        <w:rPr>
          <w:color w:val="000000"/>
        </w:rPr>
      </w:pPr>
      <w:r w:rsidRPr="00BB555E">
        <w:rPr>
          <w:color w:val="000000"/>
        </w:rPr>
        <w:t>“real property sales”</w:t>
      </w:r>
    </w:p>
    <w:p w:rsidR="00176565" w:rsidRPr="00BB555E" w:rsidRDefault="00176565" w:rsidP="00176565">
      <w:pPr>
        <w:autoSpaceDE w:val="0"/>
        <w:autoSpaceDN w:val="0"/>
        <w:adjustRightInd w:val="0"/>
        <w:ind w:left="720"/>
        <w:rPr>
          <w:color w:val="000000"/>
        </w:rPr>
      </w:pPr>
    </w:p>
    <w:p w:rsidR="00176565" w:rsidRPr="00BB555E" w:rsidRDefault="00176565" w:rsidP="00176565">
      <w:pPr>
        <w:rPr>
          <w:b/>
          <w:bCs/>
        </w:rPr>
      </w:pPr>
      <w:r w:rsidRPr="00BB555E">
        <w:rPr>
          <w:color w:val="000000"/>
        </w:rPr>
        <w:t xml:space="preserve">Remember to print out a copy of the screenshot for the case file. If you have trouble finding this information online, contact your local Office of Tax and Revenue for assistance. If not available online, the information is public and can be requested from the local authorities. (Note, the </w:t>
      </w:r>
      <w:r w:rsidRPr="00BB555E">
        <w:rPr>
          <w:color w:val="000000"/>
        </w:rPr>
        <w:lastRenderedPageBreak/>
        <w:t>taxing authority and the assessment entity may be separate governmental entities and office names vary by locality).</w:t>
      </w:r>
    </w:p>
    <w:p w:rsidR="00176565" w:rsidRPr="00BB555E" w:rsidRDefault="00176565" w:rsidP="00176565">
      <w:pPr>
        <w:rPr>
          <w:b/>
          <w:bCs/>
        </w:rPr>
      </w:pPr>
    </w:p>
    <w:p w:rsidR="00ED75AF" w:rsidRPr="00BB555E" w:rsidRDefault="00176565" w:rsidP="00A708CB">
      <w:pPr>
        <w:shd w:val="clear" w:color="auto" w:fill="FFFFFF" w:themeFill="background1"/>
        <w:rPr>
          <w:b/>
          <w:bCs/>
        </w:rPr>
      </w:pPr>
      <w:r w:rsidRPr="00BB555E">
        <w:rPr>
          <w:b/>
          <w:bCs/>
        </w:rPr>
        <w:t xml:space="preserve">Conducting a </w:t>
      </w:r>
      <w:r w:rsidR="00A30482" w:rsidRPr="00BB555E">
        <w:rPr>
          <w:b/>
          <w:bCs/>
        </w:rPr>
        <w:t>Visual Assessment</w:t>
      </w:r>
    </w:p>
    <w:p w:rsidR="005B558F" w:rsidRPr="00BB555E" w:rsidRDefault="00372EEC" w:rsidP="005B558F">
      <w:pPr>
        <w:autoSpaceDE w:val="0"/>
        <w:autoSpaceDN w:val="0"/>
        <w:adjustRightInd w:val="0"/>
        <w:rPr>
          <w:color w:val="000000"/>
        </w:rPr>
      </w:pPr>
      <w:r w:rsidRPr="00BB555E">
        <w:rPr>
          <w:color w:val="000000"/>
        </w:rPr>
        <w:t>V</w:t>
      </w:r>
      <w:r w:rsidR="005B558F" w:rsidRPr="00BB555E">
        <w:rPr>
          <w:color w:val="000000"/>
        </w:rPr>
        <w:t>isual</w:t>
      </w:r>
      <w:r w:rsidRPr="00BB555E">
        <w:rPr>
          <w:color w:val="000000"/>
        </w:rPr>
        <w:t xml:space="preserve"> </w:t>
      </w:r>
      <w:r w:rsidR="005B558F" w:rsidRPr="00BB555E">
        <w:rPr>
          <w:color w:val="000000"/>
        </w:rPr>
        <w:t>assessments are only trigger</w:t>
      </w:r>
      <w:r w:rsidRPr="00BB555E">
        <w:rPr>
          <w:color w:val="000000"/>
        </w:rPr>
        <w:t>ed under certain circumstances:</w:t>
      </w:r>
    </w:p>
    <w:p w:rsidR="0008195F" w:rsidRPr="00BB555E" w:rsidRDefault="0008195F" w:rsidP="005B558F">
      <w:pPr>
        <w:autoSpaceDE w:val="0"/>
        <w:autoSpaceDN w:val="0"/>
        <w:adjustRightInd w:val="0"/>
        <w:rPr>
          <w:color w:val="000000"/>
        </w:rPr>
      </w:pPr>
    </w:p>
    <w:p w:rsidR="005B558F" w:rsidRDefault="005B558F" w:rsidP="00760B91">
      <w:pPr>
        <w:numPr>
          <w:ilvl w:val="0"/>
          <w:numId w:val="39"/>
        </w:numPr>
        <w:autoSpaceDE w:val="0"/>
        <w:autoSpaceDN w:val="0"/>
        <w:adjustRightInd w:val="0"/>
        <w:rPr>
          <w:color w:val="000000"/>
        </w:rPr>
      </w:pPr>
      <w:r w:rsidRPr="00BB555E">
        <w:rPr>
          <w:color w:val="000000"/>
        </w:rPr>
        <w:t>The leased property was constructed before 1978;</w:t>
      </w:r>
    </w:p>
    <w:p w:rsidR="00BB75EC" w:rsidRPr="00BB75EC" w:rsidRDefault="00BB75EC" w:rsidP="00BB75EC">
      <w:pPr>
        <w:autoSpaceDE w:val="0"/>
        <w:autoSpaceDN w:val="0"/>
        <w:adjustRightInd w:val="0"/>
        <w:ind w:left="720"/>
        <w:rPr>
          <w:color w:val="000000"/>
          <w:sz w:val="16"/>
          <w:szCs w:val="16"/>
        </w:rPr>
      </w:pPr>
    </w:p>
    <w:p w:rsidR="005B558F" w:rsidRDefault="005B558F" w:rsidP="00BB75EC">
      <w:pPr>
        <w:autoSpaceDE w:val="0"/>
        <w:autoSpaceDN w:val="0"/>
        <w:adjustRightInd w:val="0"/>
        <w:ind w:left="720"/>
        <w:rPr>
          <w:i/>
          <w:iCs/>
          <w:color w:val="000000"/>
        </w:rPr>
      </w:pPr>
      <w:r w:rsidRPr="00BB555E">
        <w:rPr>
          <w:i/>
          <w:iCs/>
          <w:color w:val="000000"/>
        </w:rPr>
        <w:t>AND</w:t>
      </w:r>
    </w:p>
    <w:p w:rsidR="00BB75EC" w:rsidRPr="00BB75EC" w:rsidRDefault="00BB75EC" w:rsidP="00BB75EC">
      <w:pPr>
        <w:autoSpaceDE w:val="0"/>
        <w:autoSpaceDN w:val="0"/>
        <w:adjustRightInd w:val="0"/>
        <w:ind w:left="720"/>
        <w:rPr>
          <w:i/>
          <w:iCs/>
          <w:color w:val="000000"/>
          <w:sz w:val="16"/>
          <w:szCs w:val="16"/>
        </w:rPr>
      </w:pPr>
    </w:p>
    <w:p w:rsidR="005B558F" w:rsidRPr="00BB555E" w:rsidRDefault="005B558F" w:rsidP="00760B91">
      <w:pPr>
        <w:numPr>
          <w:ilvl w:val="0"/>
          <w:numId w:val="39"/>
        </w:numPr>
        <w:autoSpaceDE w:val="0"/>
        <w:autoSpaceDN w:val="0"/>
        <w:adjustRightInd w:val="0"/>
        <w:rPr>
          <w:color w:val="000000"/>
        </w:rPr>
      </w:pPr>
      <w:r w:rsidRPr="00BB555E">
        <w:rPr>
          <w:color w:val="000000"/>
        </w:rPr>
        <w:t>A child under the age of six will be living in the unit occupied by the household</w:t>
      </w:r>
      <w:r w:rsidR="0008195F" w:rsidRPr="00BB555E">
        <w:rPr>
          <w:color w:val="000000"/>
        </w:rPr>
        <w:t xml:space="preserve"> </w:t>
      </w:r>
      <w:r w:rsidRPr="00BB555E">
        <w:rPr>
          <w:color w:val="000000"/>
        </w:rPr>
        <w:t xml:space="preserve">receiving </w:t>
      </w:r>
      <w:r w:rsidR="00372EEC" w:rsidRPr="00BB555E">
        <w:rPr>
          <w:color w:val="000000"/>
        </w:rPr>
        <w:t>CHG rent</w:t>
      </w:r>
      <w:r w:rsidRPr="00BB555E">
        <w:rPr>
          <w:color w:val="000000"/>
        </w:rPr>
        <w:t xml:space="preserve"> assistance.</w:t>
      </w:r>
    </w:p>
    <w:p w:rsidR="0008195F" w:rsidRPr="00BB555E" w:rsidRDefault="0008195F" w:rsidP="00337585">
      <w:pPr>
        <w:rPr>
          <w:b/>
          <w:bCs/>
        </w:rPr>
      </w:pPr>
    </w:p>
    <w:p w:rsidR="00337585" w:rsidRPr="00BB555E" w:rsidRDefault="00337585" w:rsidP="00337585">
      <w:pPr>
        <w:autoSpaceDE w:val="0"/>
        <w:autoSpaceDN w:val="0"/>
        <w:adjustRightInd w:val="0"/>
        <w:rPr>
          <w:color w:val="000000"/>
        </w:rPr>
      </w:pPr>
      <w:r w:rsidRPr="00BB555E">
        <w:rPr>
          <w:color w:val="000000"/>
        </w:rPr>
        <w:t>A visual assessment must be conducted prior to providing CHG rent assistance to the unit and on an annual basis thereafter (as long as assistance is provided). Visual assessments must be conducted by a HUD</w:t>
      </w:r>
      <w:r w:rsidRPr="00BB555E">
        <w:rPr>
          <w:rFonts w:ascii="Calibri" w:hAnsi="Calibri"/>
          <w:color w:val="000000"/>
        </w:rPr>
        <w:t>‐</w:t>
      </w:r>
      <w:r w:rsidRPr="00BB555E">
        <w:rPr>
          <w:color w:val="000000"/>
        </w:rPr>
        <w:t>Certified Visual Assessor. It is important to note that a HUD</w:t>
      </w:r>
      <w:r w:rsidRPr="00BB555E">
        <w:rPr>
          <w:rFonts w:ascii="Calibri" w:hAnsi="Calibri"/>
          <w:color w:val="000000"/>
        </w:rPr>
        <w:t>‐</w:t>
      </w:r>
      <w:r w:rsidRPr="00BB555E">
        <w:rPr>
          <w:color w:val="000000"/>
        </w:rPr>
        <w:t>Certified Visual Assessor is not equivalent to a Certified Clearance Examiner. Anyone may become a HUD</w:t>
      </w:r>
      <w:r w:rsidRPr="00BB555E">
        <w:rPr>
          <w:rFonts w:ascii="Calibri" w:hAnsi="Calibri"/>
          <w:color w:val="000000"/>
        </w:rPr>
        <w:t>‐</w:t>
      </w:r>
      <w:r w:rsidRPr="00BB555E">
        <w:rPr>
          <w:color w:val="000000"/>
        </w:rPr>
        <w:t>Certified Visual Assessor by successfully completing a 20</w:t>
      </w:r>
      <w:r w:rsidRPr="00BB555E">
        <w:rPr>
          <w:rFonts w:ascii="Calibri" w:hAnsi="Calibri"/>
          <w:color w:val="000000"/>
        </w:rPr>
        <w:t>‐</w:t>
      </w:r>
      <w:r w:rsidRPr="00BB555E">
        <w:rPr>
          <w:color w:val="000000"/>
        </w:rPr>
        <w:t>minute online training on HUD’s website at:</w:t>
      </w:r>
    </w:p>
    <w:p w:rsidR="00337585" w:rsidRPr="00BB555E" w:rsidRDefault="006256D1" w:rsidP="00337585">
      <w:pPr>
        <w:autoSpaceDE w:val="0"/>
        <w:autoSpaceDN w:val="0"/>
        <w:adjustRightInd w:val="0"/>
        <w:rPr>
          <w:color w:val="000000"/>
        </w:rPr>
      </w:pPr>
      <w:hyperlink r:id="rId43" w:history="1">
        <w:r w:rsidR="00337585" w:rsidRPr="00BB555E">
          <w:rPr>
            <w:rStyle w:val="Hyperlink"/>
          </w:rPr>
          <w:t>http://www.hud.gov/offices/lead/training/visualassessment/h00101.htm</w:t>
        </w:r>
      </w:hyperlink>
      <w:r w:rsidR="00337585" w:rsidRPr="00BB555E">
        <w:t xml:space="preserve"> </w:t>
      </w:r>
      <w:r w:rsidR="00337585" w:rsidRPr="00BB555E">
        <w:rPr>
          <w:color w:val="0000FF"/>
        </w:rPr>
        <w:t xml:space="preserve"> </w:t>
      </w:r>
    </w:p>
    <w:p w:rsidR="00337585" w:rsidRPr="00BB555E" w:rsidRDefault="00337585" w:rsidP="00337585">
      <w:pPr>
        <w:autoSpaceDE w:val="0"/>
        <w:autoSpaceDN w:val="0"/>
        <w:adjustRightInd w:val="0"/>
        <w:rPr>
          <w:color w:val="000000"/>
        </w:rPr>
      </w:pPr>
    </w:p>
    <w:p w:rsidR="00337585" w:rsidRPr="00BB555E" w:rsidRDefault="00337585" w:rsidP="00337585">
      <w:pPr>
        <w:autoSpaceDE w:val="0"/>
        <w:autoSpaceDN w:val="0"/>
        <w:adjustRightInd w:val="0"/>
        <w:rPr>
          <w:color w:val="000000"/>
        </w:rPr>
      </w:pPr>
      <w:r w:rsidRPr="00BB555E">
        <w:rPr>
          <w:color w:val="000000"/>
        </w:rPr>
        <w:t>The training teaches individuals how to identify deteriorated paint and how deteriorated paint must be treated. Lead/Sub Grantees may choose to have their program staff complete the visual assessments</w:t>
      </w:r>
      <w:r w:rsidR="00373706" w:rsidRPr="00BB555E">
        <w:rPr>
          <w:color w:val="000000"/>
        </w:rPr>
        <w:t xml:space="preserve"> </w:t>
      </w:r>
      <w:r w:rsidRPr="00BB555E">
        <w:rPr>
          <w:color w:val="000000"/>
        </w:rPr>
        <w:t xml:space="preserve">or they may procure services from a contractor. </w:t>
      </w:r>
    </w:p>
    <w:p w:rsidR="00176565" w:rsidRPr="00BB555E" w:rsidRDefault="00176565" w:rsidP="00337585">
      <w:pPr>
        <w:autoSpaceDE w:val="0"/>
        <w:autoSpaceDN w:val="0"/>
        <w:adjustRightInd w:val="0"/>
        <w:rPr>
          <w:color w:val="000000"/>
        </w:rPr>
      </w:pPr>
    </w:p>
    <w:p w:rsidR="00337585" w:rsidRPr="00BB555E" w:rsidRDefault="00176565" w:rsidP="00176565">
      <w:pPr>
        <w:autoSpaceDE w:val="0"/>
        <w:autoSpaceDN w:val="0"/>
        <w:adjustRightInd w:val="0"/>
        <w:rPr>
          <w:color w:val="000000"/>
        </w:rPr>
      </w:pPr>
      <w:r w:rsidRPr="00BB555E">
        <w:rPr>
          <w:color w:val="000000"/>
        </w:rPr>
        <w:t>If a visual assessment reveals problems with paint surfaces, Lead/Sub Grantees cannot approve the unit for CHG assistance until the deteriorating paint has been repaired. At this point, Lead/Sub Grantees must make a decision: work with the property owner/manager to complete needed paint stabilization activities and clearance, work with the household to locate a different (lead</w:t>
      </w:r>
      <w:r w:rsidRPr="00BB555E">
        <w:rPr>
          <w:rFonts w:ascii="Calibri" w:hAnsi="Calibri"/>
          <w:color w:val="000000"/>
        </w:rPr>
        <w:t>‐</w:t>
      </w:r>
      <w:r w:rsidRPr="00BB555E">
        <w:rPr>
          <w:color w:val="000000"/>
        </w:rPr>
        <w:t>safe) unit, or refer the client to a different program if CHG assistance cannot be provided.</w:t>
      </w:r>
    </w:p>
    <w:p w:rsidR="00176565" w:rsidRPr="00BB555E" w:rsidRDefault="00176565" w:rsidP="00176565">
      <w:pPr>
        <w:autoSpaceDE w:val="0"/>
        <w:autoSpaceDN w:val="0"/>
        <w:adjustRightInd w:val="0"/>
        <w:rPr>
          <w:b/>
          <w:bCs/>
        </w:rPr>
      </w:pPr>
    </w:p>
    <w:p w:rsidR="0008195F" w:rsidRPr="00BB555E" w:rsidRDefault="0008195F" w:rsidP="00A708CB">
      <w:pPr>
        <w:shd w:val="clear" w:color="auto" w:fill="FFFFFF" w:themeFill="background1"/>
        <w:rPr>
          <w:b/>
          <w:bCs/>
        </w:rPr>
      </w:pPr>
      <w:r w:rsidRPr="00BB555E">
        <w:rPr>
          <w:b/>
          <w:bCs/>
        </w:rPr>
        <w:t>Locating a Certified Lead Professional</w:t>
      </w:r>
      <w:r w:rsidR="004E1F70" w:rsidRPr="00BB555E">
        <w:rPr>
          <w:b/>
          <w:bCs/>
        </w:rPr>
        <w:t xml:space="preserve"> and </w:t>
      </w:r>
      <w:r w:rsidR="00A30482" w:rsidRPr="00BB555E">
        <w:rPr>
          <w:b/>
          <w:bCs/>
        </w:rPr>
        <w:t>Further T</w:t>
      </w:r>
      <w:r w:rsidR="004E1F70" w:rsidRPr="00BB555E">
        <w:rPr>
          <w:b/>
          <w:bCs/>
        </w:rPr>
        <w:t>raining</w:t>
      </w:r>
    </w:p>
    <w:p w:rsidR="00005986" w:rsidRPr="00BB555E" w:rsidRDefault="00005986" w:rsidP="00005986">
      <w:pPr>
        <w:autoSpaceDE w:val="0"/>
        <w:autoSpaceDN w:val="0"/>
        <w:adjustRightInd w:val="0"/>
        <w:rPr>
          <w:color w:val="000000"/>
        </w:rPr>
      </w:pPr>
      <w:r w:rsidRPr="00BB555E">
        <w:rPr>
          <w:color w:val="000000"/>
        </w:rPr>
        <w:t>To locate a certified lead professional in your area:</w:t>
      </w:r>
    </w:p>
    <w:p w:rsidR="0008195F" w:rsidRPr="00BB555E" w:rsidRDefault="0008195F" w:rsidP="00005986">
      <w:pPr>
        <w:autoSpaceDE w:val="0"/>
        <w:autoSpaceDN w:val="0"/>
        <w:adjustRightInd w:val="0"/>
        <w:rPr>
          <w:color w:val="000000"/>
        </w:rPr>
      </w:pPr>
    </w:p>
    <w:p w:rsidR="00005986" w:rsidRPr="00BB555E" w:rsidRDefault="00005986" w:rsidP="00760B91">
      <w:pPr>
        <w:numPr>
          <w:ilvl w:val="0"/>
          <w:numId w:val="40"/>
        </w:numPr>
        <w:autoSpaceDE w:val="0"/>
        <w:autoSpaceDN w:val="0"/>
        <w:adjustRightInd w:val="0"/>
        <w:rPr>
          <w:color w:val="000000"/>
        </w:rPr>
      </w:pPr>
      <w:r w:rsidRPr="00BB555E">
        <w:rPr>
          <w:color w:val="000000"/>
        </w:rPr>
        <w:t>Call your state government (health department, lead poison prevention</w:t>
      </w:r>
      <w:r w:rsidR="0008195F" w:rsidRPr="00BB555E">
        <w:rPr>
          <w:color w:val="000000"/>
        </w:rPr>
        <w:t xml:space="preserve"> </w:t>
      </w:r>
      <w:r w:rsidRPr="00BB555E">
        <w:rPr>
          <w:color w:val="000000"/>
        </w:rPr>
        <w:t>program, or housing authority).</w:t>
      </w:r>
    </w:p>
    <w:p w:rsidR="0073627F" w:rsidRPr="00BB75EC" w:rsidRDefault="0073627F" w:rsidP="0073627F">
      <w:pPr>
        <w:autoSpaceDE w:val="0"/>
        <w:autoSpaceDN w:val="0"/>
        <w:adjustRightInd w:val="0"/>
        <w:ind w:left="720"/>
        <w:rPr>
          <w:color w:val="000000"/>
          <w:sz w:val="16"/>
          <w:szCs w:val="16"/>
        </w:rPr>
      </w:pPr>
    </w:p>
    <w:p w:rsidR="00005986" w:rsidRPr="00BB555E" w:rsidRDefault="00005986" w:rsidP="00760B91">
      <w:pPr>
        <w:numPr>
          <w:ilvl w:val="0"/>
          <w:numId w:val="40"/>
        </w:numPr>
        <w:autoSpaceDE w:val="0"/>
        <w:autoSpaceDN w:val="0"/>
        <w:adjustRightInd w:val="0"/>
        <w:rPr>
          <w:color w:val="000000"/>
        </w:rPr>
      </w:pPr>
      <w:r w:rsidRPr="00BB555E">
        <w:rPr>
          <w:color w:val="000000"/>
        </w:rPr>
        <w:t>Call the National Lead Information Center at 1</w:t>
      </w:r>
      <w:r w:rsidRPr="00BB555E">
        <w:rPr>
          <w:rFonts w:ascii="Calibri" w:hAnsi="Calibri"/>
          <w:color w:val="000000"/>
        </w:rPr>
        <w:t>‐</w:t>
      </w:r>
      <w:r w:rsidRPr="00BB555E">
        <w:rPr>
          <w:color w:val="000000"/>
        </w:rPr>
        <w:t>800</w:t>
      </w:r>
      <w:r w:rsidRPr="00BB555E">
        <w:rPr>
          <w:rFonts w:ascii="Calibri" w:hAnsi="Calibri"/>
          <w:color w:val="000000"/>
        </w:rPr>
        <w:t>‐</w:t>
      </w:r>
      <w:r w:rsidRPr="00BB555E">
        <w:rPr>
          <w:color w:val="000000"/>
        </w:rPr>
        <w:t>424</w:t>
      </w:r>
      <w:r w:rsidRPr="00BB555E">
        <w:rPr>
          <w:rFonts w:ascii="Calibri" w:hAnsi="Calibri"/>
          <w:color w:val="000000"/>
        </w:rPr>
        <w:t>‐</w:t>
      </w:r>
      <w:r w:rsidRPr="00BB555E">
        <w:rPr>
          <w:color w:val="000000"/>
        </w:rPr>
        <w:t>LEAD (5323).</w:t>
      </w:r>
    </w:p>
    <w:p w:rsidR="0073627F" w:rsidRPr="00BB75EC" w:rsidRDefault="0073627F" w:rsidP="0073627F">
      <w:pPr>
        <w:pStyle w:val="ListParagraph"/>
        <w:rPr>
          <w:color w:val="000000"/>
          <w:sz w:val="16"/>
          <w:szCs w:val="16"/>
        </w:rPr>
      </w:pPr>
    </w:p>
    <w:p w:rsidR="00005986" w:rsidRPr="00BB555E" w:rsidRDefault="00005986" w:rsidP="00760B91">
      <w:pPr>
        <w:numPr>
          <w:ilvl w:val="0"/>
          <w:numId w:val="40"/>
        </w:numPr>
        <w:autoSpaceDE w:val="0"/>
        <w:autoSpaceDN w:val="0"/>
        <w:adjustRightInd w:val="0"/>
        <w:rPr>
          <w:color w:val="000000"/>
        </w:rPr>
      </w:pPr>
      <w:r w:rsidRPr="00BB555E">
        <w:rPr>
          <w:color w:val="000000"/>
        </w:rPr>
        <w:t>Go to the US Environmental Protection Agency website at</w:t>
      </w:r>
      <w:r w:rsidR="0008195F" w:rsidRPr="00BB555E">
        <w:rPr>
          <w:color w:val="000000"/>
        </w:rPr>
        <w:t xml:space="preserve"> </w:t>
      </w:r>
      <w:hyperlink r:id="rId44" w:history="1">
        <w:r w:rsidR="004139D4" w:rsidRPr="00BB555E">
          <w:rPr>
            <w:rStyle w:val="Hyperlink"/>
          </w:rPr>
          <w:t>http://cfpub.epa.gov/flpp/</w:t>
        </w:r>
      </w:hyperlink>
      <w:r w:rsidR="004139D4" w:rsidRPr="00BB555E">
        <w:rPr>
          <w:color w:val="000000"/>
        </w:rPr>
        <w:t xml:space="preserve"> </w:t>
      </w:r>
      <w:r w:rsidRPr="00BB555E">
        <w:rPr>
          <w:color w:val="000000"/>
        </w:rPr>
        <w:t>and click on "certified abatement/inspection</w:t>
      </w:r>
      <w:r w:rsidR="0008195F" w:rsidRPr="00BB555E">
        <w:rPr>
          <w:color w:val="000000"/>
        </w:rPr>
        <w:t xml:space="preserve"> </w:t>
      </w:r>
      <w:r w:rsidRPr="00BB555E">
        <w:rPr>
          <w:color w:val="000000"/>
        </w:rPr>
        <w:t>firms."</w:t>
      </w:r>
    </w:p>
    <w:p w:rsidR="0008195F" w:rsidRPr="00BB555E" w:rsidRDefault="0008195F" w:rsidP="00005986">
      <w:pPr>
        <w:autoSpaceDE w:val="0"/>
        <w:autoSpaceDN w:val="0"/>
        <w:adjustRightInd w:val="0"/>
        <w:rPr>
          <w:color w:val="000000"/>
        </w:rPr>
      </w:pPr>
    </w:p>
    <w:p w:rsidR="00005986" w:rsidRPr="00BB555E" w:rsidRDefault="00005986" w:rsidP="00005986">
      <w:pPr>
        <w:autoSpaceDE w:val="0"/>
        <w:autoSpaceDN w:val="0"/>
        <w:adjustRightInd w:val="0"/>
        <w:rPr>
          <w:color w:val="000000"/>
        </w:rPr>
      </w:pPr>
      <w:r w:rsidRPr="00BB555E">
        <w:rPr>
          <w:color w:val="000000"/>
        </w:rPr>
        <w:t>Lead professionals, training providers, and HUD</w:t>
      </w:r>
      <w:r w:rsidRPr="00BB555E">
        <w:rPr>
          <w:rFonts w:ascii="Calibri" w:hAnsi="Calibri"/>
          <w:color w:val="000000"/>
        </w:rPr>
        <w:t>‐</w:t>
      </w:r>
      <w:r w:rsidRPr="00BB555E">
        <w:rPr>
          <w:color w:val="000000"/>
        </w:rPr>
        <w:t>sponsored Lead Safe Work Practices</w:t>
      </w:r>
      <w:r w:rsidR="0008195F" w:rsidRPr="00BB555E">
        <w:rPr>
          <w:color w:val="000000"/>
        </w:rPr>
        <w:t xml:space="preserve"> </w:t>
      </w:r>
      <w:r w:rsidRPr="00BB555E">
        <w:rPr>
          <w:color w:val="000000"/>
        </w:rPr>
        <w:t xml:space="preserve">training listings can be accessed at </w:t>
      </w:r>
      <w:hyperlink r:id="rId45" w:history="1">
        <w:r w:rsidR="00AE2836" w:rsidRPr="00BB555E">
          <w:rPr>
            <w:rStyle w:val="Hyperlink"/>
          </w:rPr>
          <w:t>www.leadlisting.org</w:t>
        </w:r>
      </w:hyperlink>
      <w:r w:rsidR="00AE2836" w:rsidRPr="00BB555E">
        <w:rPr>
          <w:color w:val="0000FF"/>
        </w:rPr>
        <w:t xml:space="preserve"> </w:t>
      </w:r>
      <w:r w:rsidRPr="00BB555E">
        <w:rPr>
          <w:color w:val="000000"/>
        </w:rPr>
        <w:t>or 1</w:t>
      </w:r>
      <w:r w:rsidRPr="00BB555E">
        <w:rPr>
          <w:rFonts w:ascii="Calibri" w:hAnsi="Calibri"/>
          <w:color w:val="000000"/>
        </w:rPr>
        <w:t>‐</w:t>
      </w:r>
      <w:r w:rsidRPr="00BB555E">
        <w:rPr>
          <w:color w:val="000000"/>
        </w:rPr>
        <w:t>888</w:t>
      </w:r>
      <w:r w:rsidRPr="00BB555E">
        <w:rPr>
          <w:rFonts w:ascii="Calibri" w:hAnsi="Calibri"/>
          <w:color w:val="000000"/>
        </w:rPr>
        <w:t>‐</w:t>
      </w:r>
      <w:r w:rsidRPr="00BB555E">
        <w:rPr>
          <w:color w:val="000000"/>
        </w:rPr>
        <w:t>LEADLIST.</w:t>
      </w:r>
    </w:p>
    <w:p w:rsidR="0008195F" w:rsidRPr="00BB555E" w:rsidRDefault="0008195F" w:rsidP="00005986">
      <w:pPr>
        <w:autoSpaceDE w:val="0"/>
        <w:autoSpaceDN w:val="0"/>
        <w:adjustRightInd w:val="0"/>
        <w:rPr>
          <w:color w:val="000000"/>
        </w:rPr>
      </w:pPr>
    </w:p>
    <w:p w:rsidR="00005986" w:rsidRPr="00BB555E" w:rsidRDefault="00005986" w:rsidP="00005986">
      <w:pPr>
        <w:autoSpaceDE w:val="0"/>
        <w:autoSpaceDN w:val="0"/>
        <w:adjustRightInd w:val="0"/>
        <w:rPr>
          <w:color w:val="000000"/>
        </w:rPr>
      </w:pPr>
      <w:r w:rsidRPr="00BB555E">
        <w:rPr>
          <w:color w:val="000000"/>
        </w:rPr>
        <w:t>For more information on the Federal training and certification program for lead</w:t>
      </w:r>
      <w:r w:rsidR="00E62319" w:rsidRPr="00BB555E">
        <w:rPr>
          <w:color w:val="000000"/>
        </w:rPr>
        <w:t xml:space="preserve"> </w:t>
      </w:r>
      <w:r w:rsidRPr="00BB555E">
        <w:rPr>
          <w:color w:val="000000"/>
        </w:rPr>
        <w:t>professionals, contact the National Lead Information Center (NLIC) at</w:t>
      </w:r>
      <w:r w:rsidR="0008195F" w:rsidRPr="00BB555E">
        <w:rPr>
          <w:color w:val="000000"/>
        </w:rPr>
        <w:t xml:space="preserve"> </w:t>
      </w:r>
      <w:hyperlink r:id="rId46" w:history="1">
        <w:r w:rsidR="007D4F2F" w:rsidRPr="00BB555E">
          <w:rPr>
            <w:rStyle w:val="Hyperlink"/>
          </w:rPr>
          <w:t>http://www.epa.gov/lead/pubs/nlic.htm</w:t>
        </w:r>
      </w:hyperlink>
      <w:r w:rsidR="007D4F2F" w:rsidRPr="00BB555E">
        <w:rPr>
          <w:color w:val="0000FF"/>
        </w:rPr>
        <w:t xml:space="preserve">  </w:t>
      </w:r>
      <w:r w:rsidR="004139D4" w:rsidRPr="00BB555E">
        <w:rPr>
          <w:color w:val="0000FF"/>
        </w:rPr>
        <w:t xml:space="preserve"> </w:t>
      </w:r>
      <w:r w:rsidRPr="00BB555E">
        <w:rPr>
          <w:color w:val="0000FF"/>
        </w:rPr>
        <w:t xml:space="preserve"> </w:t>
      </w:r>
      <w:r w:rsidRPr="00BB555E">
        <w:rPr>
          <w:color w:val="000000"/>
        </w:rPr>
        <w:t>or 1</w:t>
      </w:r>
      <w:r w:rsidRPr="00BB555E">
        <w:rPr>
          <w:rFonts w:ascii="Calibri" w:hAnsi="Calibri"/>
          <w:color w:val="000000"/>
        </w:rPr>
        <w:t>‐</w:t>
      </w:r>
      <w:r w:rsidRPr="00BB555E">
        <w:rPr>
          <w:color w:val="000000"/>
        </w:rPr>
        <w:t>800</w:t>
      </w:r>
      <w:r w:rsidRPr="00BB555E">
        <w:rPr>
          <w:rFonts w:ascii="Calibri" w:hAnsi="Calibri"/>
          <w:color w:val="000000"/>
        </w:rPr>
        <w:t>‐</w:t>
      </w:r>
      <w:r w:rsidRPr="00BB555E">
        <w:rPr>
          <w:color w:val="000000"/>
        </w:rPr>
        <w:t>424</w:t>
      </w:r>
      <w:r w:rsidRPr="00BB555E">
        <w:rPr>
          <w:rFonts w:ascii="Calibri" w:hAnsi="Calibri"/>
          <w:color w:val="000000"/>
        </w:rPr>
        <w:t>‐</w:t>
      </w:r>
      <w:r w:rsidRPr="00BB555E">
        <w:rPr>
          <w:color w:val="000000"/>
        </w:rPr>
        <w:t>LEAD to speak with an information</w:t>
      </w:r>
      <w:r w:rsidR="0008195F" w:rsidRPr="00BB555E">
        <w:rPr>
          <w:color w:val="000000"/>
        </w:rPr>
        <w:t xml:space="preserve"> </w:t>
      </w:r>
      <w:r w:rsidRPr="00BB555E">
        <w:rPr>
          <w:color w:val="000000"/>
        </w:rPr>
        <w:t>specialist.</w:t>
      </w:r>
    </w:p>
    <w:p w:rsidR="0008195F" w:rsidRPr="00BB555E" w:rsidRDefault="0008195F" w:rsidP="00005986">
      <w:pPr>
        <w:autoSpaceDE w:val="0"/>
        <w:autoSpaceDN w:val="0"/>
        <w:adjustRightInd w:val="0"/>
        <w:rPr>
          <w:color w:val="000000"/>
        </w:rPr>
      </w:pPr>
    </w:p>
    <w:p w:rsidR="00005986" w:rsidRPr="00BB555E" w:rsidRDefault="00005986" w:rsidP="0008195F">
      <w:pPr>
        <w:autoSpaceDE w:val="0"/>
        <w:autoSpaceDN w:val="0"/>
        <w:adjustRightInd w:val="0"/>
        <w:rPr>
          <w:color w:val="000000"/>
        </w:rPr>
      </w:pPr>
      <w:r w:rsidRPr="00BB555E">
        <w:rPr>
          <w:color w:val="000000"/>
        </w:rPr>
        <w:lastRenderedPageBreak/>
        <w:t>The Lead Safe Housing Rule as well as a HUD training module to help recipients of funds effectively implement the requirements of the Lead Safe Housing Rule</w:t>
      </w:r>
      <w:r w:rsidR="0008195F" w:rsidRPr="00BB555E">
        <w:rPr>
          <w:color w:val="000000"/>
        </w:rPr>
        <w:t xml:space="preserve"> </w:t>
      </w:r>
      <w:r w:rsidRPr="00BB555E">
        <w:rPr>
          <w:color w:val="000000"/>
        </w:rPr>
        <w:t>in their programs can be accessed at</w:t>
      </w:r>
      <w:r w:rsidR="0008195F" w:rsidRPr="00BB555E">
        <w:rPr>
          <w:color w:val="000000"/>
        </w:rPr>
        <w:t xml:space="preserve"> </w:t>
      </w:r>
      <w:hyperlink r:id="rId47" w:history="1">
        <w:r w:rsidR="004139D4" w:rsidRPr="00BB555E">
          <w:rPr>
            <w:rStyle w:val="Hyperlink"/>
          </w:rPr>
          <w:t>http://www.hud.gov/offices/cpd/affordablehousing/training/web/leadsafe/</w:t>
        </w:r>
      </w:hyperlink>
      <w:r w:rsidR="004139D4" w:rsidRPr="00BB555E">
        <w:rPr>
          <w:color w:val="0000FF"/>
        </w:rPr>
        <w:t xml:space="preserve"> </w:t>
      </w:r>
    </w:p>
    <w:sectPr w:rsidR="00005986" w:rsidRPr="00BB555E" w:rsidSect="0050665D">
      <w:footerReference w:type="default" r:id="rId48"/>
      <w:type w:val="continuous"/>
      <w:pgSz w:w="12240" w:h="15840" w:code="1"/>
      <w:pgMar w:top="1152" w:right="1440" w:bottom="1152" w:left="1440" w:header="720" w:footer="720" w:gutter="0"/>
      <w:pgNumType w:start="2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147" w:rsidRDefault="008C4147">
      <w:r>
        <w:separator/>
      </w:r>
    </w:p>
  </w:endnote>
  <w:endnote w:type="continuationSeparator" w:id="0">
    <w:p w:rsidR="008C4147" w:rsidRDefault="008C4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60377112"/>
      <w:docPartObj>
        <w:docPartGallery w:val="Page Numbers (Bottom of Page)"/>
        <w:docPartUnique/>
      </w:docPartObj>
    </w:sdtPr>
    <w:sdtEndPr>
      <w:rPr>
        <w:noProof/>
      </w:rPr>
    </w:sdtEndPr>
    <w:sdtContent>
      <w:p w:rsidR="001A31DB" w:rsidRPr="00834BC8" w:rsidRDefault="001A31DB" w:rsidP="0064315C">
        <w:pPr>
          <w:pStyle w:val="Footer"/>
          <w:rPr>
            <w:sz w:val="20"/>
            <w:szCs w:val="20"/>
          </w:rPr>
        </w:pPr>
        <w:r w:rsidRPr="00834BC8">
          <w:rPr>
            <w:sz w:val="20"/>
            <w:szCs w:val="20"/>
          </w:rPr>
          <w:t>CHG Guidelines</w:t>
        </w:r>
        <w:r w:rsidR="00EA763F">
          <w:rPr>
            <w:sz w:val="20"/>
            <w:szCs w:val="20"/>
          </w:rPr>
          <w:t xml:space="preserve"> - DRAFT</w:t>
        </w:r>
      </w:p>
      <w:p w:rsidR="001A31DB" w:rsidRPr="00834BC8" w:rsidRDefault="001A31DB" w:rsidP="0064315C">
        <w:pPr>
          <w:pStyle w:val="Footer"/>
          <w:rPr>
            <w:sz w:val="20"/>
            <w:szCs w:val="20"/>
          </w:rPr>
        </w:pPr>
        <w:r w:rsidRPr="00834BC8">
          <w:rPr>
            <w:sz w:val="20"/>
            <w:szCs w:val="20"/>
          </w:rPr>
          <w:t>January 1, 2014</w:t>
        </w:r>
      </w:p>
      <w:p w:rsidR="001A31DB" w:rsidRPr="00834BC8" w:rsidRDefault="001A31DB" w:rsidP="0064315C">
        <w:pPr>
          <w:pStyle w:val="Footer"/>
          <w:rPr>
            <w:sz w:val="20"/>
            <w:szCs w:val="20"/>
          </w:rPr>
        </w:pPr>
        <w:r w:rsidRPr="00834BC8">
          <w:rPr>
            <w:sz w:val="20"/>
            <w:szCs w:val="20"/>
          </w:rPr>
          <w:t xml:space="preserve">Page | </w:t>
        </w:r>
        <w:r w:rsidR="006256D1" w:rsidRPr="00834BC8">
          <w:rPr>
            <w:sz w:val="20"/>
            <w:szCs w:val="20"/>
          </w:rPr>
          <w:fldChar w:fldCharType="begin"/>
        </w:r>
        <w:r w:rsidRPr="00834BC8">
          <w:rPr>
            <w:sz w:val="20"/>
            <w:szCs w:val="20"/>
          </w:rPr>
          <w:instrText xml:space="preserve"> PAGE   \* MERGEFORMAT </w:instrText>
        </w:r>
        <w:r w:rsidR="006256D1" w:rsidRPr="00834BC8">
          <w:rPr>
            <w:sz w:val="20"/>
            <w:szCs w:val="20"/>
          </w:rPr>
          <w:fldChar w:fldCharType="separate"/>
        </w:r>
        <w:r w:rsidR="007661D5">
          <w:rPr>
            <w:noProof/>
            <w:sz w:val="20"/>
            <w:szCs w:val="20"/>
          </w:rPr>
          <w:t>23</w:t>
        </w:r>
        <w:r w:rsidR="006256D1" w:rsidRPr="00834BC8">
          <w:rPr>
            <w:noProof/>
            <w:sz w:val="20"/>
            <w:szCs w:val="20"/>
          </w:rPr>
          <w:fldChar w:fldCharType="end"/>
        </w:r>
      </w:p>
    </w:sdtContent>
  </w:sdt>
  <w:p w:rsidR="001A31DB" w:rsidRDefault="001A31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825326955"/>
      <w:docPartObj>
        <w:docPartGallery w:val="Page Numbers (Bottom of Page)"/>
        <w:docPartUnique/>
      </w:docPartObj>
    </w:sdtPr>
    <w:sdtEndPr>
      <w:rPr>
        <w:noProof/>
      </w:rPr>
    </w:sdtEndPr>
    <w:sdtContent>
      <w:p w:rsidR="001A31DB" w:rsidRDefault="001A31DB" w:rsidP="00834BC8">
        <w:pPr>
          <w:pStyle w:val="Footer"/>
          <w:rPr>
            <w:sz w:val="20"/>
            <w:szCs w:val="20"/>
          </w:rPr>
        </w:pPr>
      </w:p>
      <w:p w:rsidR="001A31DB" w:rsidRPr="00834BC8" w:rsidRDefault="001A31DB" w:rsidP="00834BC8">
        <w:pPr>
          <w:pStyle w:val="Footer"/>
          <w:rPr>
            <w:sz w:val="20"/>
            <w:szCs w:val="20"/>
          </w:rPr>
        </w:pPr>
        <w:r w:rsidRPr="00834BC8">
          <w:rPr>
            <w:sz w:val="20"/>
            <w:szCs w:val="20"/>
          </w:rPr>
          <w:t>CHG Guidelines</w:t>
        </w:r>
      </w:p>
      <w:p w:rsidR="001A31DB" w:rsidRPr="00834BC8" w:rsidRDefault="001A31DB" w:rsidP="00834BC8">
        <w:pPr>
          <w:pStyle w:val="Footer"/>
          <w:rPr>
            <w:sz w:val="20"/>
            <w:szCs w:val="20"/>
          </w:rPr>
        </w:pPr>
        <w:r w:rsidRPr="00834BC8">
          <w:rPr>
            <w:sz w:val="20"/>
            <w:szCs w:val="20"/>
          </w:rPr>
          <w:t>January 1, 2014</w:t>
        </w:r>
      </w:p>
      <w:p w:rsidR="001A31DB" w:rsidRPr="00834BC8" w:rsidRDefault="001A31DB">
        <w:pPr>
          <w:pStyle w:val="Footer"/>
          <w:rPr>
            <w:sz w:val="20"/>
            <w:szCs w:val="20"/>
          </w:rPr>
        </w:pPr>
        <w:r w:rsidRPr="00834BC8">
          <w:rPr>
            <w:sz w:val="20"/>
            <w:szCs w:val="20"/>
          </w:rPr>
          <w:t xml:space="preserve">Page | </w:t>
        </w:r>
        <w:r w:rsidR="006256D1" w:rsidRPr="00834BC8">
          <w:rPr>
            <w:sz w:val="20"/>
            <w:szCs w:val="20"/>
          </w:rPr>
          <w:fldChar w:fldCharType="begin"/>
        </w:r>
        <w:r w:rsidRPr="00834BC8">
          <w:rPr>
            <w:sz w:val="20"/>
            <w:szCs w:val="20"/>
          </w:rPr>
          <w:instrText xml:space="preserve"> PAGE   \* MERGEFORMAT </w:instrText>
        </w:r>
        <w:r w:rsidR="006256D1" w:rsidRPr="00834BC8">
          <w:rPr>
            <w:sz w:val="20"/>
            <w:szCs w:val="20"/>
          </w:rPr>
          <w:fldChar w:fldCharType="separate"/>
        </w:r>
        <w:r w:rsidR="007661D5">
          <w:rPr>
            <w:noProof/>
            <w:sz w:val="20"/>
            <w:szCs w:val="20"/>
          </w:rPr>
          <w:t>1</w:t>
        </w:r>
        <w:r w:rsidR="006256D1" w:rsidRPr="00834BC8">
          <w:rPr>
            <w:noProof/>
            <w:sz w:val="20"/>
            <w:szCs w:val="20"/>
          </w:rPr>
          <w:fldChar w:fldCharType="end"/>
        </w:r>
      </w:p>
    </w:sdtContent>
  </w:sdt>
  <w:p w:rsidR="001A31DB" w:rsidRDefault="001A31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62651525"/>
      <w:docPartObj>
        <w:docPartGallery w:val="Page Numbers (Bottom of Page)"/>
        <w:docPartUnique/>
      </w:docPartObj>
    </w:sdtPr>
    <w:sdtEndPr>
      <w:rPr>
        <w:noProof/>
      </w:rPr>
    </w:sdtEndPr>
    <w:sdtContent>
      <w:p w:rsidR="001A31DB" w:rsidRPr="00834BC8" w:rsidRDefault="001A31DB" w:rsidP="0064315C">
        <w:pPr>
          <w:pStyle w:val="Footer"/>
          <w:rPr>
            <w:sz w:val="20"/>
            <w:szCs w:val="20"/>
          </w:rPr>
        </w:pPr>
        <w:r w:rsidRPr="00834BC8">
          <w:rPr>
            <w:sz w:val="20"/>
            <w:szCs w:val="20"/>
          </w:rPr>
          <w:t>CHG Guidelines</w:t>
        </w:r>
      </w:p>
      <w:p w:rsidR="001A31DB" w:rsidRPr="00834BC8" w:rsidRDefault="001A31DB" w:rsidP="0064315C">
        <w:pPr>
          <w:pStyle w:val="Footer"/>
          <w:rPr>
            <w:sz w:val="20"/>
            <w:szCs w:val="20"/>
          </w:rPr>
        </w:pPr>
        <w:r w:rsidRPr="00834BC8">
          <w:rPr>
            <w:sz w:val="20"/>
            <w:szCs w:val="20"/>
          </w:rPr>
          <w:t>January 1, 2014</w:t>
        </w:r>
      </w:p>
      <w:p w:rsidR="001A31DB" w:rsidRPr="00834BC8" w:rsidRDefault="001A31DB" w:rsidP="0064315C">
        <w:pPr>
          <w:pStyle w:val="Footer"/>
          <w:rPr>
            <w:sz w:val="20"/>
            <w:szCs w:val="20"/>
          </w:rPr>
        </w:pPr>
        <w:r w:rsidRPr="00834BC8">
          <w:rPr>
            <w:sz w:val="20"/>
            <w:szCs w:val="20"/>
          </w:rPr>
          <w:t xml:space="preserve">Page | </w:t>
        </w:r>
        <w:r>
          <w:rPr>
            <w:sz w:val="20"/>
            <w:szCs w:val="20"/>
          </w:rPr>
          <w:t>27</w:t>
        </w:r>
      </w:p>
    </w:sdtContent>
  </w:sdt>
  <w:p w:rsidR="001A31DB" w:rsidRDefault="001A31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71155895"/>
      <w:docPartObj>
        <w:docPartGallery w:val="Page Numbers (Bottom of Page)"/>
        <w:docPartUnique/>
      </w:docPartObj>
    </w:sdtPr>
    <w:sdtEndPr>
      <w:rPr>
        <w:noProof/>
      </w:rPr>
    </w:sdtEndPr>
    <w:sdtContent>
      <w:p w:rsidR="001A31DB" w:rsidRDefault="001A31DB" w:rsidP="00834BC8">
        <w:pPr>
          <w:pStyle w:val="Footer"/>
          <w:rPr>
            <w:sz w:val="20"/>
            <w:szCs w:val="20"/>
          </w:rPr>
        </w:pPr>
      </w:p>
      <w:p w:rsidR="001A31DB" w:rsidRPr="00834BC8" w:rsidRDefault="001A31DB" w:rsidP="00834BC8">
        <w:pPr>
          <w:pStyle w:val="Footer"/>
          <w:rPr>
            <w:sz w:val="20"/>
            <w:szCs w:val="20"/>
          </w:rPr>
        </w:pPr>
        <w:r w:rsidRPr="00834BC8">
          <w:rPr>
            <w:sz w:val="20"/>
            <w:szCs w:val="20"/>
          </w:rPr>
          <w:t>CHG Guidelines</w:t>
        </w:r>
      </w:p>
      <w:p w:rsidR="001A31DB" w:rsidRPr="00834BC8" w:rsidRDefault="001A31DB" w:rsidP="00834BC8">
        <w:pPr>
          <w:pStyle w:val="Footer"/>
          <w:rPr>
            <w:sz w:val="20"/>
            <w:szCs w:val="20"/>
          </w:rPr>
        </w:pPr>
        <w:r w:rsidRPr="00834BC8">
          <w:rPr>
            <w:sz w:val="20"/>
            <w:szCs w:val="20"/>
          </w:rPr>
          <w:t>January 1, 2014</w:t>
        </w:r>
      </w:p>
      <w:p w:rsidR="001A31DB" w:rsidRPr="00834BC8" w:rsidRDefault="001A31DB">
        <w:pPr>
          <w:pStyle w:val="Footer"/>
          <w:rPr>
            <w:sz w:val="20"/>
            <w:szCs w:val="20"/>
          </w:rPr>
        </w:pPr>
        <w:r w:rsidRPr="00834BC8">
          <w:rPr>
            <w:sz w:val="20"/>
            <w:szCs w:val="20"/>
          </w:rPr>
          <w:t xml:space="preserve">Page | </w:t>
        </w:r>
        <w:r>
          <w:rPr>
            <w:sz w:val="20"/>
            <w:szCs w:val="20"/>
          </w:rPr>
          <w:t>24</w:t>
        </w:r>
      </w:p>
    </w:sdtContent>
  </w:sdt>
  <w:p w:rsidR="001A31DB" w:rsidRDefault="001A31D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61178212"/>
      <w:docPartObj>
        <w:docPartGallery w:val="Page Numbers (Bottom of Page)"/>
        <w:docPartUnique/>
      </w:docPartObj>
    </w:sdtPr>
    <w:sdtEndPr>
      <w:rPr>
        <w:noProof/>
      </w:rPr>
    </w:sdtEndPr>
    <w:sdtContent>
      <w:p w:rsidR="001A31DB" w:rsidRPr="00834BC8" w:rsidRDefault="001A31DB" w:rsidP="0064315C">
        <w:pPr>
          <w:pStyle w:val="Footer"/>
          <w:rPr>
            <w:sz w:val="20"/>
            <w:szCs w:val="20"/>
          </w:rPr>
        </w:pPr>
        <w:r w:rsidRPr="00834BC8">
          <w:rPr>
            <w:sz w:val="20"/>
            <w:szCs w:val="20"/>
          </w:rPr>
          <w:t>CHG Guidelines</w:t>
        </w:r>
      </w:p>
      <w:p w:rsidR="001A31DB" w:rsidRPr="00834BC8" w:rsidRDefault="001A31DB" w:rsidP="0064315C">
        <w:pPr>
          <w:pStyle w:val="Footer"/>
          <w:rPr>
            <w:sz w:val="20"/>
            <w:szCs w:val="20"/>
          </w:rPr>
        </w:pPr>
        <w:r w:rsidRPr="00834BC8">
          <w:rPr>
            <w:sz w:val="20"/>
            <w:szCs w:val="20"/>
          </w:rPr>
          <w:t>January 1, 2014</w:t>
        </w:r>
      </w:p>
      <w:p w:rsidR="001A31DB" w:rsidRPr="00834BC8" w:rsidRDefault="001A31DB" w:rsidP="0064315C">
        <w:pPr>
          <w:pStyle w:val="Footer"/>
          <w:rPr>
            <w:sz w:val="20"/>
            <w:szCs w:val="20"/>
          </w:rPr>
        </w:pPr>
        <w:r w:rsidRPr="00834BC8">
          <w:rPr>
            <w:sz w:val="20"/>
            <w:szCs w:val="20"/>
          </w:rPr>
          <w:t xml:space="preserve">Page | </w:t>
        </w:r>
        <w:r>
          <w:rPr>
            <w:sz w:val="20"/>
            <w:szCs w:val="20"/>
          </w:rPr>
          <w:t>26</w:t>
        </w:r>
      </w:p>
    </w:sdtContent>
  </w:sdt>
  <w:p w:rsidR="001A31DB" w:rsidRDefault="001A31D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84490023"/>
      <w:docPartObj>
        <w:docPartGallery w:val="Page Numbers (Bottom of Page)"/>
        <w:docPartUnique/>
      </w:docPartObj>
    </w:sdtPr>
    <w:sdtEndPr>
      <w:rPr>
        <w:noProof/>
      </w:rPr>
    </w:sdtEndPr>
    <w:sdtContent>
      <w:p w:rsidR="001A31DB" w:rsidRPr="0050665D" w:rsidRDefault="001A31DB" w:rsidP="0050665D">
        <w:pPr>
          <w:pStyle w:val="Footer"/>
          <w:rPr>
            <w:sz w:val="20"/>
            <w:szCs w:val="20"/>
          </w:rPr>
        </w:pPr>
        <w:r w:rsidRPr="0050665D">
          <w:rPr>
            <w:sz w:val="20"/>
            <w:szCs w:val="20"/>
          </w:rPr>
          <w:t>CHG Guidelines</w:t>
        </w:r>
      </w:p>
      <w:p w:rsidR="001A31DB" w:rsidRPr="0050665D" w:rsidRDefault="001A31DB" w:rsidP="0050665D">
        <w:pPr>
          <w:pStyle w:val="Footer"/>
          <w:rPr>
            <w:sz w:val="20"/>
            <w:szCs w:val="20"/>
          </w:rPr>
        </w:pPr>
        <w:r w:rsidRPr="0050665D">
          <w:rPr>
            <w:sz w:val="20"/>
            <w:szCs w:val="20"/>
          </w:rPr>
          <w:t>January 1, 2014</w:t>
        </w:r>
      </w:p>
      <w:p w:rsidR="001A31DB" w:rsidRDefault="001A31DB">
        <w:pPr>
          <w:pStyle w:val="Footer"/>
        </w:pPr>
        <w:r w:rsidRPr="0050665D">
          <w:rPr>
            <w:sz w:val="20"/>
            <w:szCs w:val="20"/>
          </w:rPr>
          <w:t xml:space="preserve">Page | </w:t>
        </w:r>
        <w:r w:rsidR="006256D1" w:rsidRPr="0050665D">
          <w:rPr>
            <w:sz w:val="20"/>
            <w:szCs w:val="20"/>
          </w:rPr>
          <w:fldChar w:fldCharType="begin"/>
        </w:r>
        <w:r w:rsidRPr="0050665D">
          <w:rPr>
            <w:sz w:val="20"/>
            <w:szCs w:val="20"/>
          </w:rPr>
          <w:instrText xml:space="preserve"> PAGE   \* MERGEFORMAT </w:instrText>
        </w:r>
        <w:r w:rsidR="006256D1" w:rsidRPr="0050665D">
          <w:rPr>
            <w:sz w:val="20"/>
            <w:szCs w:val="20"/>
          </w:rPr>
          <w:fldChar w:fldCharType="separate"/>
        </w:r>
        <w:r w:rsidR="007661D5">
          <w:rPr>
            <w:noProof/>
            <w:sz w:val="20"/>
            <w:szCs w:val="20"/>
          </w:rPr>
          <w:t>25</w:t>
        </w:r>
        <w:r w:rsidR="006256D1" w:rsidRPr="0050665D">
          <w:rPr>
            <w:noProof/>
            <w:sz w:val="20"/>
            <w:szCs w:val="20"/>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412580"/>
      <w:docPartObj>
        <w:docPartGallery w:val="Page Numbers (Bottom of Page)"/>
        <w:docPartUnique/>
      </w:docPartObj>
    </w:sdtPr>
    <w:sdtEndPr>
      <w:rPr>
        <w:noProof/>
        <w:sz w:val="20"/>
        <w:szCs w:val="20"/>
      </w:rPr>
    </w:sdtEndPr>
    <w:sdtContent>
      <w:p w:rsidR="001A31DB" w:rsidRPr="00834BC8" w:rsidRDefault="001A31DB" w:rsidP="00C02B26">
        <w:pPr>
          <w:pStyle w:val="Footer"/>
          <w:rPr>
            <w:sz w:val="20"/>
            <w:szCs w:val="20"/>
          </w:rPr>
        </w:pPr>
        <w:r w:rsidRPr="00834BC8">
          <w:rPr>
            <w:sz w:val="20"/>
            <w:szCs w:val="20"/>
          </w:rPr>
          <w:t>CHG Guidelines</w:t>
        </w:r>
      </w:p>
      <w:p w:rsidR="001A31DB" w:rsidRPr="00834BC8" w:rsidRDefault="001A31DB" w:rsidP="00C02B26">
        <w:pPr>
          <w:pStyle w:val="Footer"/>
          <w:rPr>
            <w:sz w:val="20"/>
            <w:szCs w:val="20"/>
          </w:rPr>
        </w:pPr>
        <w:r w:rsidRPr="00834BC8">
          <w:rPr>
            <w:sz w:val="20"/>
            <w:szCs w:val="20"/>
          </w:rPr>
          <w:t>January 1, 2014</w:t>
        </w:r>
      </w:p>
      <w:p w:rsidR="001A31DB" w:rsidRPr="00C02B26" w:rsidRDefault="001A31DB">
        <w:pPr>
          <w:pStyle w:val="Footer"/>
          <w:rPr>
            <w:sz w:val="20"/>
            <w:szCs w:val="20"/>
          </w:rPr>
        </w:pPr>
        <w:r w:rsidRPr="00C02B26">
          <w:rPr>
            <w:sz w:val="20"/>
            <w:szCs w:val="20"/>
          </w:rPr>
          <w:t xml:space="preserve">Page | </w:t>
        </w:r>
        <w:r w:rsidR="006256D1" w:rsidRPr="00C02B26">
          <w:rPr>
            <w:sz w:val="20"/>
            <w:szCs w:val="20"/>
          </w:rPr>
          <w:fldChar w:fldCharType="begin"/>
        </w:r>
        <w:r w:rsidRPr="00C02B26">
          <w:rPr>
            <w:sz w:val="20"/>
            <w:szCs w:val="20"/>
          </w:rPr>
          <w:instrText xml:space="preserve"> PAGE   \* MERGEFORMAT </w:instrText>
        </w:r>
        <w:r w:rsidR="006256D1" w:rsidRPr="00C02B26">
          <w:rPr>
            <w:sz w:val="20"/>
            <w:szCs w:val="20"/>
          </w:rPr>
          <w:fldChar w:fldCharType="separate"/>
        </w:r>
        <w:r w:rsidR="007661D5">
          <w:rPr>
            <w:noProof/>
            <w:sz w:val="20"/>
            <w:szCs w:val="20"/>
          </w:rPr>
          <w:t>38</w:t>
        </w:r>
        <w:r w:rsidR="006256D1" w:rsidRPr="00C02B26">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147" w:rsidRDefault="008C4147">
      <w:r>
        <w:separator/>
      </w:r>
    </w:p>
  </w:footnote>
  <w:footnote w:type="continuationSeparator" w:id="0">
    <w:p w:rsidR="008C4147" w:rsidRDefault="008C4147">
      <w:r>
        <w:continuationSeparator/>
      </w:r>
    </w:p>
  </w:footnote>
  <w:footnote w:id="1">
    <w:p w:rsidR="001A31DB" w:rsidRPr="00777E15" w:rsidRDefault="001A31DB" w:rsidP="003A4F7C">
      <w:pPr>
        <w:rPr>
          <w:sz w:val="18"/>
          <w:szCs w:val="18"/>
        </w:rPr>
      </w:pPr>
      <w:r w:rsidRPr="00777E15">
        <w:rPr>
          <w:rStyle w:val="FootnoteReference"/>
          <w:sz w:val="18"/>
          <w:szCs w:val="18"/>
        </w:rPr>
        <w:footnoteRef/>
      </w:r>
      <w:r w:rsidRPr="00777E15">
        <w:rPr>
          <w:sz w:val="18"/>
          <w:szCs w:val="18"/>
        </w:rPr>
        <w:t xml:space="preserve"> Income limits are established by household size and revised annually by the Department of Housing and Urban Development (HUD). Current income limits for each county can be found at </w:t>
      </w:r>
      <w:hyperlink r:id="rId1" w:history="1">
        <w:r w:rsidRPr="00777E15">
          <w:rPr>
            <w:rStyle w:val="Hyperlink"/>
            <w:sz w:val="18"/>
            <w:szCs w:val="18"/>
          </w:rPr>
          <w:t>http://www.huduser.org/portal/datasets/il.html</w:t>
        </w:r>
      </w:hyperlink>
    </w:p>
    <w:p w:rsidR="001A31DB" w:rsidRDefault="001A31D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DB" w:rsidRDefault="001A31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DB" w:rsidRDefault="001A31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DB" w:rsidRDefault="001A3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cs="Times New Roman"/>
      </w:rPr>
    </w:lvl>
  </w:abstractNum>
  <w:abstractNum w:abstractNumId="1">
    <w:nsid w:val="00000002"/>
    <w:multiLevelType w:val="singleLevel"/>
    <w:tmpl w:val="00000000"/>
    <w:lvl w:ilvl="0">
      <w:start w:val="1"/>
      <w:numFmt w:val="upperRoman"/>
      <w:pStyle w:val="QuickI"/>
      <w:lvlText w:val="%1."/>
      <w:lvlJc w:val="left"/>
      <w:pPr>
        <w:tabs>
          <w:tab w:val="num" w:pos="720"/>
        </w:tabs>
      </w:pPr>
      <w:rPr>
        <w:rFonts w:ascii="Times New Roman" w:hAnsi="Times New Roman" w:cs="Times New Roman"/>
      </w:rPr>
    </w:lvl>
  </w:abstractNum>
  <w:abstractNum w:abstractNumId="2">
    <w:nsid w:val="00863B4B"/>
    <w:multiLevelType w:val="hybridMultilevel"/>
    <w:tmpl w:val="728AAE3C"/>
    <w:lvl w:ilvl="0" w:tplc="0409000D">
      <w:start w:val="1"/>
      <w:numFmt w:val="bullet"/>
      <w:lvlText w:val=""/>
      <w:lvlJc w:val="left"/>
      <w:pPr>
        <w:ind w:left="63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8571565"/>
    <w:multiLevelType w:val="hybridMultilevel"/>
    <w:tmpl w:val="6F4E71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A81BE2"/>
    <w:multiLevelType w:val="hybridMultilevel"/>
    <w:tmpl w:val="DF88F72C"/>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C985258"/>
    <w:multiLevelType w:val="hybridMultilevel"/>
    <w:tmpl w:val="A50AF010"/>
    <w:lvl w:ilvl="0" w:tplc="0409000D">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4851B4"/>
    <w:multiLevelType w:val="hybridMultilevel"/>
    <w:tmpl w:val="7DCEE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4455A"/>
    <w:multiLevelType w:val="hybridMultilevel"/>
    <w:tmpl w:val="8A8C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44342"/>
    <w:multiLevelType w:val="hybridMultilevel"/>
    <w:tmpl w:val="49AC9DEC"/>
    <w:lvl w:ilvl="0" w:tplc="C14E70CC">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nsid w:val="137B161A"/>
    <w:multiLevelType w:val="multilevel"/>
    <w:tmpl w:val="1E38A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5296FB9"/>
    <w:multiLevelType w:val="hybridMultilevel"/>
    <w:tmpl w:val="A28E9D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84668A9"/>
    <w:multiLevelType w:val="hybridMultilevel"/>
    <w:tmpl w:val="AF04BC72"/>
    <w:lvl w:ilvl="0" w:tplc="0409000D">
      <w:start w:val="1"/>
      <w:numFmt w:val="bullet"/>
      <w:lvlText w:val=""/>
      <w:lvlJc w:val="left"/>
      <w:pPr>
        <w:ind w:left="720" w:hanging="360"/>
      </w:pPr>
      <w:rPr>
        <w:rFonts w:ascii="Wingdings" w:hAnsi="Wingdings" w:cs="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1F6A6208"/>
    <w:multiLevelType w:val="hybridMultilevel"/>
    <w:tmpl w:val="1EC487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416D1B"/>
    <w:multiLevelType w:val="hybridMultilevel"/>
    <w:tmpl w:val="E0A00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E6F61"/>
    <w:multiLevelType w:val="hybridMultilevel"/>
    <w:tmpl w:val="7D8AB2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D217D"/>
    <w:multiLevelType w:val="hybridMultilevel"/>
    <w:tmpl w:val="6ACC952C"/>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FE77073"/>
    <w:multiLevelType w:val="hybridMultilevel"/>
    <w:tmpl w:val="5372BD20"/>
    <w:lvl w:ilvl="0" w:tplc="0409000D">
      <w:start w:val="1"/>
      <w:numFmt w:val="bullet"/>
      <w:lvlText w:val=""/>
      <w:lvlJc w:val="left"/>
      <w:pPr>
        <w:tabs>
          <w:tab w:val="num" w:pos="1080"/>
        </w:tabs>
        <w:ind w:left="1080" w:hanging="360"/>
      </w:pPr>
      <w:rPr>
        <w:rFonts w:ascii="Wingdings" w:hAnsi="Wingdings"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0EE4ACA"/>
    <w:multiLevelType w:val="hybridMultilevel"/>
    <w:tmpl w:val="ED1E1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F70BDA"/>
    <w:multiLevelType w:val="hybridMultilevel"/>
    <w:tmpl w:val="676C03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AD678E"/>
    <w:multiLevelType w:val="hybridMultilevel"/>
    <w:tmpl w:val="0CFEA7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B88130A"/>
    <w:multiLevelType w:val="hybridMultilevel"/>
    <w:tmpl w:val="3CCA98D6"/>
    <w:lvl w:ilvl="0" w:tplc="0409000D">
      <w:start w:val="1"/>
      <w:numFmt w:val="bullet"/>
      <w:lvlText w:val=""/>
      <w:lvlJc w:val="left"/>
      <w:pPr>
        <w:tabs>
          <w:tab w:val="num" w:pos="1080"/>
        </w:tabs>
        <w:ind w:left="1080" w:hanging="360"/>
      </w:pPr>
      <w:rPr>
        <w:rFonts w:ascii="Wingdings" w:hAnsi="Wingdings"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C747293"/>
    <w:multiLevelType w:val="hybridMultilevel"/>
    <w:tmpl w:val="08923974"/>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0C6AC7"/>
    <w:multiLevelType w:val="hybridMultilevel"/>
    <w:tmpl w:val="A60CC356"/>
    <w:lvl w:ilvl="0" w:tplc="0409000D">
      <w:start w:val="1"/>
      <w:numFmt w:val="bullet"/>
      <w:lvlText w:val=""/>
      <w:lvlJc w:val="left"/>
      <w:pPr>
        <w:tabs>
          <w:tab w:val="num" w:pos="1080"/>
        </w:tabs>
        <w:ind w:left="1080" w:hanging="360"/>
      </w:pPr>
      <w:rPr>
        <w:rFonts w:ascii="Wingdings" w:hAnsi="Wingdings" w:hint="default"/>
        <w:color w:val="auto"/>
        <w:sz w:val="20"/>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2545351"/>
    <w:multiLevelType w:val="hybridMultilevel"/>
    <w:tmpl w:val="234ED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852B6A"/>
    <w:multiLevelType w:val="hybridMultilevel"/>
    <w:tmpl w:val="56021B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2406F1"/>
    <w:multiLevelType w:val="hybridMultilevel"/>
    <w:tmpl w:val="D67AA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CF3E56"/>
    <w:multiLevelType w:val="hybridMultilevel"/>
    <w:tmpl w:val="3C82C5A0"/>
    <w:lvl w:ilvl="0" w:tplc="0409000D">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B937DD"/>
    <w:multiLevelType w:val="hybridMultilevel"/>
    <w:tmpl w:val="775A42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216211"/>
    <w:multiLevelType w:val="hybridMultilevel"/>
    <w:tmpl w:val="B71A0F3C"/>
    <w:lvl w:ilvl="0" w:tplc="1390C0C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B407C9"/>
    <w:multiLevelType w:val="hybridMultilevel"/>
    <w:tmpl w:val="AAEC9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D061808"/>
    <w:multiLevelType w:val="hybridMultilevel"/>
    <w:tmpl w:val="F7308BA2"/>
    <w:lvl w:ilvl="0" w:tplc="C14E70CC">
      <w:start w:val="1"/>
      <w:numFmt w:val="bullet"/>
      <w:lvlText w:val=""/>
      <w:lvlJc w:val="left"/>
      <w:pPr>
        <w:ind w:left="720" w:hanging="360"/>
      </w:pPr>
      <w:rPr>
        <w:rFonts w:ascii="Wingdings" w:hAnsi="Wingdings" w:cs="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3B35F3"/>
    <w:multiLevelType w:val="hybridMultilevel"/>
    <w:tmpl w:val="CCA6AA1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0E34C22"/>
    <w:multiLevelType w:val="hybridMultilevel"/>
    <w:tmpl w:val="242866B4"/>
    <w:lvl w:ilvl="0" w:tplc="0409000D">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0FE7454"/>
    <w:multiLevelType w:val="hybridMultilevel"/>
    <w:tmpl w:val="F9EC56C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55AF6A68"/>
    <w:multiLevelType w:val="hybridMultilevel"/>
    <w:tmpl w:val="088416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910115"/>
    <w:multiLevelType w:val="hybridMultilevel"/>
    <w:tmpl w:val="6E80A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005E21"/>
    <w:multiLevelType w:val="hybridMultilevel"/>
    <w:tmpl w:val="E62E0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746267"/>
    <w:multiLevelType w:val="multilevel"/>
    <w:tmpl w:val="0409001F"/>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8">
    <w:nsid w:val="62F93CB6"/>
    <w:multiLevelType w:val="hybridMultilevel"/>
    <w:tmpl w:val="AA26E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951F61"/>
    <w:multiLevelType w:val="hybridMultilevel"/>
    <w:tmpl w:val="9BACA2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A3C56C2"/>
    <w:multiLevelType w:val="hybridMultilevel"/>
    <w:tmpl w:val="4A0E6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CB409DF"/>
    <w:multiLevelType w:val="hybridMultilevel"/>
    <w:tmpl w:val="BB843EA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2E5833"/>
    <w:multiLevelType w:val="hybridMultilevel"/>
    <w:tmpl w:val="ABB4B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CC5560"/>
    <w:multiLevelType w:val="hybridMultilevel"/>
    <w:tmpl w:val="1C2AB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4">
    <w:nsid w:val="761854CC"/>
    <w:multiLevelType w:val="hybridMultilevel"/>
    <w:tmpl w:val="C6B6BDE0"/>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5">
    <w:nsid w:val="779C7A37"/>
    <w:multiLevelType w:val="hybridMultilevel"/>
    <w:tmpl w:val="42B0D79E"/>
    <w:lvl w:ilvl="0" w:tplc="0409000D">
      <w:start w:val="1"/>
      <w:numFmt w:val="bullet"/>
      <w:lvlText w:val=""/>
      <w:lvlJc w:val="left"/>
      <w:pPr>
        <w:tabs>
          <w:tab w:val="num" w:pos="1080"/>
        </w:tabs>
        <w:ind w:left="1080" w:hanging="360"/>
      </w:pPr>
      <w:rPr>
        <w:rFonts w:ascii="Wingdings" w:hAnsi="Wingdings"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8D26C53"/>
    <w:multiLevelType w:val="hybridMultilevel"/>
    <w:tmpl w:val="11286C4C"/>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B03935"/>
    <w:multiLevelType w:val="hybridMultilevel"/>
    <w:tmpl w:val="DCDEEF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8">
    <w:nsid w:val="7CB32124"/>
    <w:multiLevelType w:val="hybridMultilevel"/>
    <w:tmpl w:val="5B2899F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A7560E"/>
    <w:multiLevelType w:val="hybridMultilevel"/>
    <w:tmpl w:val="A9B2A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E211AD5"/>
    <w:multiLevelType w:val="hybridMultilevel"/>
    <w:tmpl w:val="F97E14E6"/>
    <w:lvl w:ilvl="0" w:tplc="0409000F">
      <w:start w:val="1"/>
      <w:numFmt w:val="decimal"/>
      <w:lvlText w:val="%1."/>
      <w:lvlJc w:val="left"/>
      <w:pPr>
        <w:ind w:left="72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8"/>
        <w:numFmt w:val="decimal"/>
        <w:pStyle w:val="QuickA"/>
        <w:lvlText w:val="%1."/>
        <w:lvlJc w:val="left"/>
        <w:rPr>
          <w:rFonts w:ascii="Times New Roman" w:hAnsi="Times New Roman" w:cs="Times New Roman"/>
        </w:rPr>
      </w:lvl>
    </w:lvlOverride>
  </w:num>
  <w:num w:numId="2">
    <w:abstractNumId w:val="1"/>
    <w:lvlOverride w:ilvl="0">
      <w:startOverride w:val="1"/>
      <w:lvl w:ilvl="0">
        <w:start w:val="1"/>
        <w:numFmt w:val="decimal"/>
        <w:pStyle w:val="QuickI"/>
        <w:lvlText w:val="%1."/>
        <w:lvlJc w:val="left"/>
        <w:rPr>
          <w:rFonts w:ascii="Times New Roman" w:hAnsi="Times New Roman" w:cs="Times New Roman"/>
        </w:rPr>
      </w:lvl>
    </w:lvlOverride>
  </w:num>
  <w:num w:numId="3">
    <w:abstractNumId w:val="37"/>
  </w:num>
  <w:num w:numId="4">
    <w:abstractNumId w:val="44"/>
  </w:num>
  <w:num w:numId="5">
    <w:abstractNumId w:val="4"/>
  </w:num>
  <w:num w:numId="6">
    <w:abstractNumId w:val="15"/>
  </w:num>
  <w:num w:numId="7">
    <w:abstractNumId w:val="18"/>
  </w:num>
  <w:num w:numId="8">
    <w:abstractNumId w:val="2"/>
  </w:num>
  <w:num w:numId="9">
    <w:abstractNumId w:val="8"/>
  </w:num>
  <w:num w:numId="10">
    <w:abstractNumId w:val="28"/>
  </w:num>
  <w:num w:numId="11">
    <w:abstractNumId w:val="50"/>
  </w:num>
  <w:num w:numId="12">
    <w:abstractNumId w:val="31"/>
  </w:num>
  <w:num w:numId="13">
    <w:abstractNumId w:val="30"/>
  </w:num>
  <w:num w:numId="14">
    <w:abstractNumId w:val="24"/>
  </w:num>
  <w:num w:numId="15">
    <w:abstractNumId w:val="25"/>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33"/>
  </w:num>
  <w:num w:numId="19">
    <w:abstractNumId w:val="11"/>
  </w:num>
  <w:num w:numId="20">
    <w:abstractNumId w:val="32"/>
  </w:num>
  <w:num w:numId="21">
    <w:abstractNumId w:val="46"/>
  </w:num>
  <w:num w:numId="22">
    <w:abstractNumId w:val="27"/>
  </w:num>
  <w:num w:numId="23">
    <w:abstractNumId w:val="38"/>
  </w:num>
  <w:num w:numId="24">
    <w:abstractNumId w:val="26"/>
  </w:num>
  <w:num w:numId="25">
    <w:abstractNumId w:val="5"/>
  </w:num>
  <w:num w:numId="26">
    <w:abstractNumId w:val="34"/>
  </w:num>
  <w:num w:numId="27">
    <w:abstractNumId w:val="43"/>
  </w:num>
  <w:num w:numId="28">
    <w:abstractNumId w:val="47"/>
  </w:num>
  <w:num w:numId="29">
    <w:abstractNumId w:val="13"/>
  </w:num>
  <w:num w:numId="30">
    <w:abstractNumId w:val="48"/>
  </w:num>
  <w:num w:numId="31">
    <w:abstractNumId w:val="12"/>
  </w:num>
  <w:num w:numId="32">
    <w:abstractNumId w:val="36"/>
  </w:num>
  <w:num w:numId="33">
    <w:abstractNumId w:val="10"/>
  </w:num>
  <w:num w:numId="34">
    <w:abstractNumId w:val="19"/>
  </w:num>
  <w:num w:numId="35">
    <w:abstractNumId w:val="22"/>
  </w:num>
  <w:num w:numId="36">
    <w:abstractNumId w:val="16"/>
  </w:num>
  <w:num w:numId="37">
    <w:abstractNumId w:val="6"/>
  </w:num>
  <w:num w:numId="38">
    <w:abstractNumId w:val="23"/>
  </w:num>
  <w:num w:numId="39">
    <w:abstractNumId w:val="17"/>
  </w:num>
  <w:num w:numId="40">
    <w:abstractNumId w:val="14"/>
  </w:num>
  <w:num w:numId="41">
    <w:abstractNumId w:val="20"/>
  </w:num>
  <w:num w:numId="42">
    <w:abstractNumId w:val="7"/>
  </w:num>
  <w:num w:numId="43">
    <w:abstractNumId w:val="41"/>
  </w:num>
  <w:num w:numId="44">
    <w:abstractNumId w:val="40"/>
  </w:num>
  <w:num w:numId="45">
    <w:abstractNumId w:val="42"/>
  </w:num>
  <w:num w:numId="46">
    <w:abstractNumId w:val="39"/>
  </w:num>
  <w:num w:numId="47">
    <w:abstractNumId w:val="49"/>
  </w:num>
  <w:num w:numId="48">
    <w:abstractNumId w:val="3"/>
  </w:num>
  <w:num w:numId="49">
    <w:abstractNumId w:val="29"/>
  </w:num>
  <w:num w:numId="50">
    <w:abstractNumId w:val="9"/>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450562">
      <o:colormenu v:ext="edit" fillcolor="none [2732]"/>
    </o:shapedefaults>
  </w:hdrShapeDefaults>
  <w:footnotePr>
    <w:footnote w:id="-1"/>
    <w:footnote w:id="0"/>
  </w:footnotePr>
  <w:endnotePr>
    <w:endnote w:id="-1"/>
    <w:endnote w:id="0"/>
  </w:endnotePr>
  <w:compat/>
  <w:rsids>
    <w:rsidRoot w:val="0017538D"/>
    <w:rsid w:val="000015BE"/>
    <w:rsid w:val="00005986"/>
    <w:rsid w:val="00005AA6"/>
    <w:rsid w:val="0001082B"/>
    <w:rsid w:val="0001352D"/>
    <w:rsid w:val="0001788D"/>
    <w:rsid w:val="00020597"/>
    <w:rsid w:val="00024142"/>
    <w:rsid w:val="000256D9"/>
    <w:rsid w:val="0002658A"/>
    <w:rsid w:val="00026C23"/>
    <w:rsid w:val="00027196"/>
    <w:rsid w:val="00027588"/>
    <w:rsid w:val="000307C0"/>
    <w:rsid w:val="00032454"/>
    <w:rsid w:val="000342F2"/>
    <w:rsid w:val="000344FE"/>
    <w:rsid w:val="00037CBB"/>
    <w:rsid w:val="0004005F"/>
    <w:rsid w:val="00042882"/>
    <w:rsid w:val="00044296"/>
    <w:rsid w:val="000458D3"/>
    <w:rsid w:val="00046A31"/>
    <w:rsid w:val="00050298"/>
    <w:rsid w:val="00056352"/>
    <w:rsid w:val="00056F25"/>
    <w:rsid w:val="00060AC7"/>
    <w:rsid w:val="0006125E"/>
    <w:rsid w:val="00061B78"/>
    <w:rsid w:val="000643D8"/>
    <w:rsid w:val="00067034"/>
    <w:rsid w:val="00067DBA"/>
    <w:rsid w:val="00072246"/>
    <w:rsid w:val="000723E5"/>
    <w:rsid w:val="0007255E"/>
    <w:rsid w:val="0007591C"/>
    <w:rsid w:val="0007701E"/>
    <w:rsid w:val="000775BC"/>
    <w:rsid w:val="00080732"/>
    <w:rsid w:val="000809ED"/>
    <w:rsid w:val="0008195F"/>
    <w:rsid w:val="00084C1C"/>
    <w:rsid w:val="00084C40"/>
    <w:rsid w:val="000853D3"/>
    <w:rsid w:val="0009201E"/>
    <w:rsid w:val="000927A6"/>
    <w:rsid w:val="000928C8"/>
    <w:rsid w:val="00093C81"/>
    <w:rsid w:val="00093ED3"/>
    <w:rsid w:val="000944AF"/>
    <w:rsid w:val="0009552E"/>
    <w:rsid w:val="00095D5D"/>
    <w:rsid w:val="000977F5"/>
    <w:rsid w:val="000A0930"/>
    <w:rsid w:val="000A1E7F"/>
    <w:rsid w:val="000A5204"/>
    <w:rsid w:val="000B02D6"/>
    <w:rsid w:val="000B085B"/>
    <w:rsid w:val="000B2298"/>
    <w:rsid w:val="000B40B9"/>
    <w:rsid w:val="000B4A06"/>
    <w:rsid w:val="000B5C34"/>
    <w:rsid w:val="000C0DC4"/>
    <w:rsid w:val="000C3B13"/>
    <w:rsid w:val="000C6F71"/>
    <w:rsid w:val="000C74CE"/>
    <w:rsid w:val="000D0030"/>
    <w:rsid w:val="000D0E09"/>
    <w:rsid w:val="000D1E7F"/>
    <w:rsid w:val="000D4DAF"/>
    <w:rsid w:val="000D5655"/>
    <w:rsid w:val="000D5B56"/>
    <w:rsid w:val="000E00BD"/>
    <w:rsid w:val="000E0367"/>
    <w:rsid w:val="000E263C"/>
    <w:rsid w:val="000E266D"/>
    <w:rsid w:val="000E3863"/>
    <w:rsid w:val="000E5543"/>
    <w:rsid w:val="000E5B6F"/>
    <w:rsid w:val="000E7162"/>
    <w:rsid w:val="000F3F7A"/>
    <w:rsid w:val="000F5264"/>
    <w:rsid w:val="00100127"/>
    <w:rsid w:val="00101CF6"/>
    <w:rsid w:val="00105494"/>
    <w:rsid w:val="00105BD4"/>
    <w:rsid w:val="0010613A"/>
    <w:rsid w:val="00107515"/>
    <w:rsid w:val="00107530"/>
    <w:rsid w:val="0011430A"/>
    <w:rsid w:val="00115A08"/>
    <w:rsid w:val="00120173"/>
    <w:rsid w:val="00121092"/>
    <w:rsid w:val="00122EE8"/>
    <w:rsid w:val="00125C66"/>
    <w:rsid w:val="001276C3"/>
    <w:rsid w:val="00133F0A"/>
    <w:rsid w:val="00134641"/>
    <w:rsid w:val="00134C5C"/>
    <w:rsid w:val="001404F3"/>
    <w:rsid w:val="00140DBA"/>
    <w:rsid w:val="00141994"/>
    <w:rsid w:val="00142E04"/>
    <w:rsid w:val="001430FB"/>
    <w:rsid w:val="00143C46"/>
    <w:rsid w:val="00146962"/>
    <w:rsid w:val="00146B74"/>
    <w:rsid w:val="00147FCA"/>
    <w:rsid w:val="00155FF5"/>
    <w:rsid w:val="00156BA8"/>
    <w:rsid w:val="00157BD5"/>
    <w:rsid w:val="001602FA"/>
    <w:rsid w:val="001603F9"/>
    <w:rsid w:val="00162229"/>
    <w:rsid w:val="00162B76"/>
    <w:rsid w:val="001637BC"/>
    <w:rsid w:val="001637C8"/>
    <w:rsid w:val="00163FA9"/>
    <w:rsid w:val="001659BA"/>
    <w:rsid w:val="00173AA9"/>
    <w:rsid w:val="0017538D"/>
    <w:rsid w:val="00176565"/>
    <w:rsid w:val="00176EDD"/>
    <w:rsid w:val="001805F7"/>
    <w:rsid w:val="00180AF1"/>
    <w:rsid w:val="001843EA"/>
    <w:rsid w:val="00187451"/>
    <w:rsid w:val="00190488"/>
    <w:rsid w:val="0019129D"/>
    <w:rsid w:val="0019140B"/>
    <w:rsid w:val="00197B29"/>
    <w:rsid w:val="00197D26"/>
    <w:rsid w:val="001A07DE"/>
    <w:rsid w:val="001A256C"/>
    <w:rsid w:val="001A31DB"/>
    <w:rsid w:val="001A516C"/>
    <w:rsid w:val="001B0164"/>
    <w:rsid w:val="001B138D"/>
    <w:rsid w:val="001B2ED5"/>
    <w:rsid w:val="001B381F"/>
    <w:rsid w:val="001B543C"/>
    <w:rsid w:val="001B5FC3"/>
    <w:rsid w:val="001B6671"/>
    <w:rsid w:val="001B6DA7"/>
    <w:rsid w:val="001B6F40"/>
    <w:rsid w:val="001C1367"/>
    <w:rsid w:val="001C1A62"/>
    <w:rsid w:val="001C413B"/>
    <w:rsid w:val="001C5D75"/>
    <w:rsid w:val="001D1BA7"/>
    <w:rsid w:val="001D47A6"/>
    <w:rsid w:val="001D664E"/>
    <w:rsid w:val="001D757F"/>
    <w:rsid w:val="001E10D9"/>
    <w:rsid w:val="001E1156"/>
    <w:rsid w:val="001E24D5"/>
    <w:rsid w:val="001E3271"/>
    <w:rsid w:val="001E38A5"/>
    <w:rsid w:val="001E4F5E"/>
    <w:rsid w:val="001E7A6E"/>
    <w:rsid w:val="001F2F43"/>
    <w:rsid w:val="001F34C8"/>
    <w:rsid w:val="001F7D1D"/>
    <w:rsid w:val="002004EC"/>
    <w:rsid w:val="00201490"/>
    <w:rsid w:val="002027EC"/>
    <w:rsid w:val="002036FD"/>
    <w:rsid w:val="00203F4D"/>
    <w:rsid w:val="00204A00"/>
    <w:rsid w:val="00210239"/>
    <w:rsid w:val="00212877"/>
    <w:rsid w:val="002130C2"/>
    <w:rsid w:val="0021435D"/>
    <w:rsid w:val="00215A42"/>
    <w:rsid w:val="002170ED"/>
    <w:rsid w:val="00220735"/>
    <w:rsid w:val="002208D2"/>
    <w:rsid w:val="002215FE"/>
    <w:rsid w:val="002216BD"/>
    <w:rsid w:val="00222E5F"/>
    <w:rsid w:val="00225301"/>
    <w:rsid w:val="00226ED2"/>
    <w:rsid w:val="00227B39"/>
    <w:rsid w:val="00230AC1"/>
    <w:rsid w:val="00231264"/>
    <w:rsid w:val="00232130"/>
    <w:rsid w:val="0023373B"/>
    <w:rsid w:val="002344E0"/>
    <w:rsid w:val="002345C9"/>
    <w:rsid w:val="002434C8"/>
    <w:rsid w:val="002455BA"/>
    <w:rsid w:val="00246D6F"/>
    <w:rsid w:val="00247B28"/>
    <w:rsid w:val="00250EFF"/>
    <w:rsid w:val="00251680"/>
    <w:rsid w:val="0025431C"/>
    <w:rsid w:val="00254EBA"/>
    <w:rsid w:val="00256D0B"/>
    <w:rsid w:val="0026044B"/>
    <w:rsid w:val="00264B02"/>
    <w:rsid w:val="002660EB"/>
    <w:rsid w:val="002667BC"/>
    <w:rsid w:val="002669E9"/>
    <w:rsid w:val="0027242B"/>
    <w:rsid w:val="00272680"/>
    <w:rsid w:val="00274723"/>
    <w:rsid w:val="00277E04"/>
    <w:rsid w:val="00282033"/>
    <w:rsid w:val="0028249E"/>
    <w:rsid w:val="002831C6"/>
    <w:rsid w:val="00284A35"/>
    <w:rsid w:val="00287D69"/>
    <w:rsid w:val="0029127E"/>
    <w:rsid w:val="00291C2C"/>
    <w:rsid w:val="0029260C"/>
    <w:rsid w:val="002943A5"/>
    <w:rsid w:val="00297B9B"/>
    <w:rsid w:val="002A2ADC"/>
    <w:rsid w:val="002B2010"/>
    <w:rsid w:val="002B5969"/>
    <w:rsid w:val="002C16E9"/>
    <w:rsid w:val="002C1D5D"/>
    <w:rsid w:val="002C4AF6"/>
    <w:rsid w:val="002D297B"/>
    <w:rsid w:val="002D6B86"/>
    <w:rsid w:val="002E3207"/>
    <w:rsid w:val="002E3CF8"/>
    <w:rsid w:val="002E4637"/>
    <w:rsid w:val="002E5379"/>
    <w:rsid w:val="002E56E6"/>
    <w:rsid w:val="002E5FCC"/>
    <w:rsid w:val="002E62B6"/>
    <w:rsid w:val="002F2CB4"/>
    <w:rsid w:val="002F633E"/>
    <w:rsid w:val="002F6AE3"/>
    <w:rsid w:val="003033C3"/>
    <w:rsid w:val="00304B40"/>
    <w:rsid w:val="00304B5D"/>
    <w:rsid w:val="0030603C"/>
    <w:rsid w:val="00310989"/>
    <w:rsid w:val="00311843"/>
    <w:rsid w:val="00311B6A"/>
    <w:rsid w:val="003135D4"/>
    <w:rsid w:val="00313607"/>
    <w:rsid w:val="00314B80"/>
    <w:rsid w:val="0031554A"/>
    <w:rsid w:val="003162E9"/>
    <w:rsid w:val="00316DA7"/>
    <w:rsid w:val="003206A3"/>
    <w:rsid w:val="00320C13"/>
    <w:rsid w:val="00322A33"/>
    <w:rsid w:val="00326E3A"/>
    <w:rsid w:val="003270CD"/>
    <w:rsid w:val="003277D4"/>
    <w:rsid w:val="00330E17"/>
    <w:rsid w:val="00330EC9"/>
    <w:rsid w:val="00331487"/>
    <w:rsid w:val="00331EA9"/>
    <w:rsid w:val="00331F94"/>
    <w:rsid w:val="00333B9C"/>
    <w:rsid w:val="00334ED1"/>
    <w:rsid w:val="0033608B"/>
    <w:rsid w:val="00337585"/>
    <w:rsid w:val="00337801"/>
    <w:rsid w:val="003412CF"/>
    <w:rsid w:val="00342961"/>
    <w:rsid w:val="00343BEB"/>
    <w:rsid w:val="0034428A"/>
    <w:rsid w:val="003521F2"/>
    <w:rsid w:val="00353504"/>
    <w:rsid w:val="003554D3"/>
    <w:rsid w:val="00355E40"/>
    <w:rsid w:val="0036103C"/>
    <w:rsid w:val="00362A05"/>
    <w:rsid w:val="003661E6"/>
    <w:rsid w:val="003706E7"/>
    <w:rsid w:val="00370D02"/>
    <w:rsid w:val="003713B5"/>
    <w:rsid w:val="003720BE"/>
    <w:rsid w:val="00372EEC"/>
    <w:rsid w:val="00373706"/>
    <w:rsid w:val="003765A8"/>
    <w:rsid w:val="00377AB8"/>
    <w:rsid w:val="0038217D"/>
    <w:rsid w:val="0038277C"/>
    <w:rsid w:val="003841FF"/>
    <w:rsid w:val="00384C6C"/>
    <w:rsid w:val="003906EA"/>
    <w:rsid w:val="0039185F"/>
    <w:rsid w:val="003930C3"/>
    <w:rsid w:val="00393A4B"/>
    <w:rsid w:val="003A10AF"/>
    <w:rsid w:val="003A1DB3"/>
    <w:rsid w:val="003A49E4"/>
    <w:rsid w:val="003A4F7C"/>
    <w:rsid w:val="003A6593"/>
    <w:rsid w:val="003B2BAD"/>
    <w:rsid w:val="003B362A"/>
    <w:rsid w:val="003B4DFD"/>
    <w:rsid w:val="003B4F17"/>
    <w:rsid w:val="003B5765"/>
    <w:rsid w:val="003B7154"/>
    <w:rsid w:val="003C0C18"/>
    <w:rsid w:val="003C4E38"/>
    <w:rsid w:val="003C62EC"/>
    <w:rsid w:val="003C6A22"/>
    <w:rsid w:val="003C7DCE"/>
    <w:rsid w:val="003C7E0F"/>
    <w:rsid w:val="003D0DCC"/>
    <w:rsid w:val="003D3579"/>
    <w:rsid w:val="003D3998"/>
    <w:rsid w:val="003D5AC8"/>
    <w:rsid w:val="003E2D9E"/>
    <w:rsid w:val="003E4464"/>
    <w:rsid w:val="003E66A4"/>
    <w:rsid w:val="003E67C6"/>
    <w:rsid w:val="003F06E6"/>
    <w:rsid w:val="003F16A5"/>
    <w:rsid w:val="003F22F3"/>
    <w:rsid w:val="003F33EC"/>
    <w:rsid w:val="003F39E6"/>
    <w:rsid w:val="003F3BAC"/>
    <w:rsid w:val="003F5AFB"/>
    <w:rsid w:val="003F608D"/>
    <w:rsid w:val="003F63B0"/>
    <w:rsid w:val="003F696C"/>
    <w:rsid w:val="003F7902"/>
    <w:rsid w:val="00401F28"/>
    <w:rsid w:val="00404048"/>
    <w:rsid w:val="0040478F"/>
    <w:rsid w:val="004064B5"/>
    <w:rsid w:val="00406BB7"/>
    <w:rsid w:val="004139D4"/>
    <w:rsid w:val="004171DF"/>
    <w:rsid w:val="00420FA0"/>
    <w:rsid w:val="00423554"/>
    <w:rsid w:val="00426AB3"/>
    <w:rsid w:val="004312B2"/>
    <w:rsid w:val="004315CA"/>
    <w:rsid w:val="00434947"/>
    <w:rsid w:val="00435D68"/>
    <w:rsid w:val="00436D40"/>
    <w:rsid w:val="0044157A"/>
    <w:rsid w:val="00442AD4"/>
    <w:rsid w:val="00443A57"/>
    <w:rsid w:val="00443D1C"/>
    <w:rsid w:val="00446D2E"/>
    <w:rsid w:val="00447144"/>
    <w:rsid w:val="00447C5B"/>
    <w:rsid w:val="00447D7F"/>
    <w:rsid w:val="00452EA0"/>
    <w:rsid w:val="00456E69"/>
    <w:rsid w:val="0046073D"/>
    <w:rsid w:val="00462286"/>
    <w:rsid w:val="00463695"/>
    <w:rsid w:val="004642D5"/>
    <w:rsid w:val="00464DA7"/>
    <w:rsid w:val="004665FD"/>
    <w:rsid w:val="00466D85"/>
    <w:rsid w:val="004710A0"/>
    <w:rsid w:val="00482F80"/>
    <w:rsid w:val="00483DD4"/>
    <w:rsid w:val="00486872"/>
    <w:rsid w:val="004925EF"/>
    <w:rsid w:val="00492695"/>
    <w:rsid w:val="004928CA"/>
    <w:rsid w:val="0049435D"/>
    <w:rsid w:val="00495FEC"/>
    <w:rsid w:val="004974E2"/>
    <w:rsid w:val="004977B7"/>
    <w:rsid w:val="004A1179"/>
    <w:rsid w:val="004A1396"/>
    <w:rsid w:val="004A15F7"/>
    <w:rsid w:val="004A1675"/>
    <w:rsid w:val="004A1711"/>
    <w:rsid w:val="004A4145"/>
    <w:rsid w:val="004A557C"/>
    <w:rsid w:val="004A5CD2"/>
    <w:rsid w:val="004A5D8F"/>
    <w:rsid w:val="004A70E6"/>
    <w:rsid w:val="004B01B4"/>
    <w:rsid w:val="004B01E5"/>
    <w:rsid w:val="004B0BD8"/>
    <w:rsid w:val="004B407B"/>
    <w:rsid w:val="004B5B4C"/>
    <w:rsid w:val="004B7919"/>
    <w:rsid w:val="004C0247"/>
    <w:rsid w:val="004C0853"/>
    <w:rsid w:val="004C1102"/>
    <w:rsid w:val="004C29B4"/>
    <w:rsid w:val="004C4D8A"/>
    <w:rsid w:val="004C5B56"/>
    <w:rsid w:val="004D0935"/>
    <w:rsid w:val="004D1F18"/>
    <w:rsid w:val="004D270D"/>
    <w:rsid w:val="004D4851"/>
    <w:rsid w:val="004D4AD1"/>
    <w:rsid w:val="004D509C"/>
    <w:rsid w:val="004E0994"/>
    <w:rsid w:val="004E0A78"/>
    <w:rsid w:val="004E1253"/>
    <w:rsid w:val="004E1F70"/>
    <w:rsid w:val="004E221C"/>
    <w:rsid w:val="004E2342"/>
    <w:rsid w:val="004E3B05"/>
    <w:rsid w:val="004E4958"/>
    <w:rsid w:val="004E6F82"/>
    <w:rsid w:val="004E73CE"/>
    <w:rsid w:val="004E7E36"/>
    <w:rsid w:val="004F12D9"/>
    <w:rsid w:val="004F1BE2"/>
    <w:rsid w:val="004F2A4B"/>
    <w:rsid w:val="004F3188"/>
    <w:rsid w:val="004F471A"/>
    <w:rsid w:val="004F47FF"/>
    <w:rsid w:val="004F63CB"/>
    <w:rsid w:val="00501D29"/>
    <w:rsid w:val="00501F9B"/>
    <w:rsid w:val="00502F5A"/>
    <w:rsid w:val="0050665D"/>
    <w:rsid w:val="00507FF2"/>
    <w:rsid w:val="00513D27"/>
    <w:rsid w:val="00515240"/>
    <w:rsid w:val="005156EA"/>
    <w:rsid w:val="00515C1E"/>
    <w:rsid w:val="0051692B"/>
    <w:rsid w:val="00520055"/>
    <w:rsid w:val="00525EB4"/>
    <w:rsid w:val="0052620C"/>
    <w:rsid w:val="00527516"/>
    <w:rsid w:val="005311CE"/>
    <w:rsid w:val="00531811"/>
    <w:rsid w:val="00531BAF"/>
    <w:rsid w:val="00531F96"/>
    <w:rsid w:val="00533314"/>
    <w:rsid w:val="00533E7A"/>
    <w:rsid w:val="005342BB"/>
    <w:rsid w:val="00535941"/>
    <w:rsid w:val="00543348"/>
    <w:rsid w:val="00543826"/>
    <w:rsid w:val="00544869"/>
    <w:rsid w:val="00544E03"/>
    <w:rsid w:val="005460C3"/>
    <w:rsid w:val="005474DC"/>
    <w:rsid w:val="00547CEB"/>
    <w:rsid w:val="00556A27"/>
    <w:rsid w:val="00560A75"/>
    <w:rsid w:val="00564EB5"/>
    <w:rsid w:val="00564FBB"/>
    <w:rsid w:val="00565744"/>
    <w:rsid w:val="00566BBC"/>
    <w:rsid w:val="00566FC4"/>
    <w:rsid w:val="00567142"/>
    <w:rsid w:val="00570215"/>
    <w:rsid w:val="00570F9F"/>
    <w:rsid w:val="00571B5C"/>
    <w:rsid w:val="005730A8"/>
    <w:rsid w:val="00573977"/>
    <w:rsid w:val="005754B5"/>
    <w:rsid w:val="00575D12"/>
    <w:rsid w:val="00576EB8"/>
    <w:rsid w:val="005802BB"/>
    <w:rsid w:val="005844BE"/>
    <w:rsid w:val="0058668E"/>
    <w:rsid w:val="00586C62"/>
    <w:rsid w:val="00592013"/>
    <w:rsid w:val="00592B67"/>
    <w:rsid w:val="005948CD"/>
    <w:rsid w:val="0059677D"/>
    <w:rsid w:val="005A05F2"/>
    <w:rsid w:val="005A1E9B"/>
    <w:rsid w:val="005A21BC"/>
    <w:rsid w:val="005A21E2"/>
    <w:rsid w:val="005A45CA"/>
    <w:rsid w:val="005A5CB2"/>
    <w:rsid w:val="005A65B6"/>
    <w:rsid w:val="005B4998"/>
    <w:rsid w:val="005B558F"/>
    <w:rsid w:val="005B5D5B"/>
    <w:rsid w:val="005D0F12"/>
    <w:rsid w:val="005D3C73"/>
    <w:rsid w:val="005D499E"/>
    <w:rsid w:val="005D52EA"/>
    <w:rsid w:val="005D557C"/>
    <w:rsid w:val="005D5643"/>
    <w:rsid w:val="005E0A08"/>
    <w:rsid w:val="005E2BA1"/>
    <w:rsid w:val="005E37F1"/>
    <w:rsid w:val="005E4B98"/>
    <w:rsid w:val="005E6318"/>
    <w:rsid w:val="005F0D8A"/>
    <w:rsid w:val="005F2392"/>
    <w:rsid w:val="005F4682"/>
    <w:rsid w:val="005F492E"/>
    <w:rsid w:val="005F6F5C"/>
    <w:rsid w:val="006004D5"/>
    <w:rsid w:val="0060128A"/>
    <w:rsid w:val="006030A1"/>
    <w:rsid w:val="0060342A"/>
    <w:rsid w:val="00603C2A"/>
    <w:rsid w:val="00604215"/>
    <w:rsid w:val="0060425B"/>
    <w:rsid w:val="006043EE"/>
    <w:rsid w:val="0060667B"/>
    <w:rsid w:val="00613D10"/>
    <w:rsid w:val="00613D50"/>
    <w:rsid w:val="00614CAF"/>
    <w:rsid w:val="006150FB"/>
    <w:rsid w:val="00616975"/>
    <w:rsid w:val="00620D09"/>
    <w:rsid w:val="006242F3"/>
    <w:rsid w:val="006250F5"/>
    <w:rsid w:val="006252F5"/>
    <w:rsid w:val="006256D1"/>
    <w:rsid w:val="00627A45"/>
    <w:rsid w:val="00630C82"/>
    <w:rsid w:val="0063105F"/>
    <w:rsid w:val="006361D8"/>
    <w:rsid w:val="00637DA1"/>
    <w:rsid w:val="00641399"/>
    <w:rsid w:val="0064167C"/>
    <w:rsid w:val="00641DD7"/>
    <w:rsid w:val="0064315C"/>
    <w:rsid w:val="006437AD"/>
    <w:rsid w:val="00645886"/>
    <w:rsid w:val="00645A9F"/>
    <w:rsid w:val="00650E95"/>
    <w:rsid w:val="006519A6"/>
    <w:rsid w:val="00652368"/>
    <w:rsid w:val="0065279B"/>
    <w:rsid w:val="00652C89"/>
    <w:rsid w:val="006565E7"/>
    <w:rsid w:val="00666A32"/>
    <w:rsid w:val="00670D3B"/>
    <w:rsid w:val="00671589"/>
    <w:rsid w:val="006731B8"/>
    <w:rsid w:val="00673A34"/>
    <w:rsid w:val="006775F1"/>
    <w:rsid w:val="00680CFB"/>
    <w:rsid w:val="00681184"/>
    <w:rsid w:val="00681B51"/>
    <w:rsid w:val="00682291"/>
    <w:rsid w:val="006827E3"/>
    <w:rsid w:val="00684AA1"/>
    <w:rsid w:val="00684CF7"/>
    <w:rsid w:val="00687FC2"/>
    <w:rsid w:val="006913B8"/>
    <w:rsid w:val="006925FB"/>
    <w:rsid w:val="00696B61"/>
    <w:rsid w:val="00696EBB"/>
    <w:rsid w:val="006A0706"/>
    <w:rsid w:val="006A0869"/>
    <w:rsid w:val="006A282E"/>
    <w:rsid w:val="006A2D5B"/>
    <w:rsid w:val="006A2FB9"/>
    <w:rsid w:val="006A490E"/>
    <w:rsid w:val="006A4CE8"/>
    <w:rsid w:val="006A6B91"/>
    <w:rsid w:val="006A7220"/>
    <w:rsid w:val="006A76B7"/>
    <w:rsid w:val="006B1561"/>
    <w:rsid w:val="006B17FD"/>
    <w:rsid w:val="006B37A8"/>
    <w:rsid w:val="006B5272"/>
    <w:rsid w:val="006B5F9B"/>
    <w:rsid w:val="006B6505"/>
    <w:rsid w:val="006B6C0A"/>
    <w:rsid w:val="006B766B"/>
    <w:rsid w:val="006C0CB3"/>
    <w:rsid w:val="006C1A6C"/>
    <w:rsid w:val="006C2A62"/>
    <w:rsid w:val="006C46B6"/>
    <w:rsid w:val="006C5064"/>
    <w:rsid w:val="006C6269"/>
    <w:rsid w:val="006D34FE"/>
    <w:rsid w:val="006D464D"/>
    <w:rsid w:val="006D4B46"/>
    <w:rsid w:val="006E0D23"/>
    <w:rsid w:val="006E2EFC"/>
    <w:rsid w:val="006E5C13"/>
    <w:rsid w:val="006F2775"/>
    <w:rsid w:val="006F53C6"/>
    <w:rsid w:val="006F5A63"/>
    <w:rsid w:val="006F7AED"/>
    <w:rsid w:val="00701A9C"/>
    <w:rsid w:val="0070281C"/>
    <w:rsid w:val="007052FF"/>
    <w:rsid w:val="0070730D"/>
    <w:rsid w:val="00707D9B"/>
    <w:rsid w:val="00710E7F"/>
    <w:rsid w:val="00711FAC"/>
    <w:rsid w:val="00713435"/>
    <w:rsid w:val="0072001B"/>
    <w:rsid w:val="00721BF8"/>
    <w:rsid w:val="00721DCD"/>
    <w:rsid w:val="00721FB3"/>
    <w:rsid w:val="0072332E"/>
    <w:rsid w:val="00723431"/>
    <w:rsid w:val="00723BDD"/>
    <w:rsid w:val="007260C8"/>
    <w:rsid w:val="0073337E"/>
    <w:rsid w:val="00733F17"/>
    <w:rsid w:val="00734585"/>
    <w:rsid w:val="00734D7B"/>
    <w:rsid w:val="00735205"/>
    <w:rsid w:val="007353DC"/>
    <w:rsid w:val="00735C94"/>
    <w:rsid w:val="0073627F"/>
    <w:rsid w:val="00737013"/>
    <w:rsid w:val="00740CFF"/>
    <w:rsid w:val="0074275A"/>
    <w:rsid w:val="00742FE8"/>
    <w:rsid w:val="00743CC1"/>
    <w:rsid w:val="00743DE2"/>
    <w:rsid w:val="00744873"/>
    <w:rsid w:val="007467CF"/>
    <w:rsid w:val="0074698F"/>
    <w:rsid w:val="00747DCD"/>
    <w:rsid w:val="00750767"/>
    <w:rsid w:val="00752C10"/>
    <w:rsid w:val="00753C9F"/>
    <w:rsid w:val="00756121"/>
    <w:rsid w:val="0075637B"/>
    <w:rsid w:val="00756BAF"/>
    <w:rsid w:val="00760B91"/>
    <w:rsid w:val="00762CE4"/>
    <w:rsid w:val="00765537"/>
    <w:rsid w:val="007661D5"/>
    <w:rsid w:val="0077082C"/>
    <w:rsid w:val="007743E3"/>
    <w:rsid w:val="00775721"/>
    <w:rsid w:val="00777439"/>
    <w:rsid w:val="00777657"/>
    <w:rsid w:val="00777BB4"/>
    <w:rsid w:val="00777E15"/>
    <w:rsid w:val="007818F5"/>
    <w:rsid w:val="00782E5F"/>
    <w:rsid w:val="00783018"/>
    <w:rsid w:val="00784839"/>
    <w:rsid w:val="007853B6"/>
    <w:rsid w:val="00787358"/>
    <w:rsid w:val="00787EBC"/>
    <w:rsid w:val="00787F0C"/>
    <w:rsid w:val="00794083"/>
    <w:rsid w:val="00796CE7"/>
    <w:rsid w:val="00797663"/>
    <w:rsid w:val="007A2A25"/>
    <w:rsid w:val="007A3262"/>
    <w:rsid w:val="007A4930"/>
    <w:rsid w:val="007A4FCC"/>
    <w:rsid w:val="007A7FAC"/>
    <w:rsid w:val="007B1E90"/>
    <w:rsid w:val="007B28A3"/>
    <w:rsid w:val="007B2BD1"/>
    <w:rsid w:val="007B2DE5"/>
    <w:rsid w:val="007B36C8"/>
    <w:rsid w:val="007B3A0E"/>
    <w:rsid w:val="007B41EE"/>
    <w:rsid w:val="007B4C71"/>
    <w:rsid w:val="007B6B3C"/>
    <w:rsid w:val="007B7829"/>
    <w:rsid w:val="007C0594"/>
    <w:rsid w:val="007C09FB"/>
    <w:rsid w:val="007C0C1D"/>
    <w:rsid w:val="007C2D94"/>
    <w:rsid w:val="007C3A27"/>
    <w:rsid w:val="007C3C79"/>
    <w:rsid w:val="007C4204"/>
    <w:rsid w:val="007C45B7"/>
    <w:rsid w:val="007C54E3"/>
    <w:rsid w:val="007C5605"/>
    <w:rsid w:val="007C7968"/>
    <w:rsid w:val="007D067C"/>
    <w:rsid w:val="007D2CDC"/>
    <w:rsid w:val="007D34C2"/>
    <w:rsid w:val="007D43C5"/>
    <w:rsid w:val="007D4F2F"/>
    <w:rsid w:val="007D7AA2"/>
    <w:rsid w:val="007E1233"/>
    <w:rsid w:val="007E152B"/>
    <w:rsid w:val="007E53CF"/>
    <w:rsid w:val="007E54E4"/>
    <w:rsid w:val="007E7A60"/>
    <w:rsid w:val="007F3434"/>
    <w:rsid w:val="007F352D"/>
    <w:rsid w:val="007F3A77"/>
    <w:rsid w:val="007F48EA"/>
    <w:rsid w:val="007F7FE9"/>
    <w:rsid w:val="00801611"/>
    <w:rsid w:val="00801A26"/>
    <w:rsid w:val="00803675"/>
    <w:rsid w:val="00807E3B"/>
    <w:rsid w:val="00811678"/>
    <w:rsid w:val="008142B1"/>
    <w:rsid w:val="00820EB0"/>
    <w:rsid w:val="00825960"/>
    <w:rsid w:val="008311CB"/>
    <w:rsid w:val="00832549"/>
    <w:rsid w:val="00832A31"/>
    <w:rsid w:val="00832C34"/>
    <w:rsid w:val="00832FA9"/>
    <w:rsid w:val="00833436"/>
    <w:rsid w:val="00834BC8"/>
    <w:rsid w:val="008366BF"/>
    <w:rsid w:val="008370F0"/>
    <w:rsid w:val="008378CC"/>
    <w:rsid w:val="0083791D"/>
    <w:rsid w:val="00842B19"/>
    <w:rsid w:val="00844016"/>
    <w:rsid w:val="008469EC"/>
    <w:rsid w:val="00847612"/>
    <w:rsid w:val="00847E9F"/>
    <w:rsid w:val="008516DE"/>
    <w:rsid w:val="00852BD8"/>
    <w:rsid w:val="00854B25"/>
    <w:rsid w:val="00854E4B"/>
    <w:rsid w:val="00857EB7"/>
    <w:rsid w:val="008623EB"/>
    <w:rsid w:val="00863AD6"/>
    <w:rsid w:val="008643CB"/>
    <w:rsid w:val="00864DE8"/>
    <w:rsid w:val="00865E75"/>
    <w:rsid w:val="0086684F"/>
    <w:rsid w:val="0086698F"/>
    <w:rsid w:val="008713CA"/>
    <w:rsid w:val="00871BAF"/>
    <w:rsid w:val="00872338"/>
    <w:rsid w:val="0087257B"/>
    <w:rsid w:val="00873E1F"/>
    <w:rsid w:val="00874691"/>
    <w:rsid w:val="00874891"/>
    <w:rsid w:val="00876FD5"/>
    <w:rsid w:val="008806B5"/>
    <w:rsid w:val="0088194C"/>
    <w:rsid w:val="00881F33"/>
    <w:rsid w:val="00882E28"/>
    <w:rsid w:val="00884594"/>
    <w:rsid w:val="0088632E"/>
    <w:rsid w:val="0088740B"/>
    <w:rsid w:val="00887E2F"/>
    <w:rsid w:val="00890D9F"/>
    <w:rsid w:val="00891AC1"/>
    <w:rsid w:val="0089304B"/>
    <w:rsid w:val="00893ADD"/>
    <w:rsid w:val="00897798"/>
    <w:rsid w:val="00897C3E"/>
    <w:rsid w:val="008A0A02"/>
    <w:rsid w:val="008A1D40"/>
    <w:rsid w:val="008A4858"/>
    <w:rsid w:val="008A58A9"/>
    <w:rsid w:val="008A711B"/>
    <w:rsid w:val="008B0C51"/>
    <w:rsid w:val="008B202A"/>
    <w:rsid w:val="008B42D6"/>
    <w:rsid w:val="008B4DE8"/>
    <w:rsid w:val="008B5075"/>
    <w:rsid w:val="008B5D78"/>
    <w:rsid w:val="008B7268"/>
    <w:rsid w:val="008C1BEE"/>
    <w:rsid w:val="008C1C01"/>
    <w:rsid w:val="008C2C19"/>
    <w:rsid w:val="008C2F26"/>
    <w:rsid w:val="008C3C6E"/>
    <w:rsid w:val="008C4147"/>
    <w:rsid w:val="008C64A6"/>
    <w:rsid w:val="008C70DD"/>
    <w:rsid w:val="008D005E"/>
    <w:rsid w:val="008D0D28"/>
    <w:rsid w:val="008D1035"/>
    <w:rsid w:val="008D14BB"/>
    <w:rsid w:val="008D1773"/>
    <w:rsid w:val="008D3EEA"/>
    <w:rsid w:val="008D43B1"/>
    <w:rsid w:val="008D4412"/>
    <w:rsid w:val="008D4CE5"/>
    <w:rsid w:val="008D5ABE"/>
    <w:rsid w:val="008D6C1C"/>
    <w:rsid w:val="008E0810"/>
    <w:rsid w:val="008E0A38"/>
    <w:rsid w:val="008E1B45"/>
    <w:rsid w:val="008E2F64"/>
    <w:rsid w:val="008E5A83"/>
    <w:rsid w:val="008E5D05"/>
    <w:rsid w:val="008F0F31"/>
    <w:rsid w:val="008F1230"/>
    <w:rsid w:val="008F16F7"/>
    <w:rsid w:val="008F1C63"/>
    <w:rsid w:val="008F3A79"/>
    <w:rsid w:val="008F4BE1"/>
    <w:rsid w:val="008F6355"/>
    <w:rsid w:val="008F71D6"/>
    <w:rsid w:val="008F7CF5"/>
    <w:rsid w:val="008F7D4D"/>
    <w:rsid w:val="0090047C"/>
    <w:rsid w:val="0090178C"/>
    <w:rsid w:val="00901863"/>
    <w:rsid w:val="00903764"/>
    <w:rsid w:val="00905FF1"/>
    <w:rsid w:val="009079E9"/>
    <w:rsid w:val="009102DD"/>
    <w:rsid w:val="00910D7B"/>
    <w:rsid w:val="009141A0"/>
    <w:rsid w:val="00914FBF"/>
    <w:rsid w:val="00921D7F"/>
    <w:rsid w:val="00921E9A"/>
    <w:rsid w:val="00924168"/>
    <w:rsid w:val="0092427A"/>
    <w:rsid w:val="009248B6"/>
    <w:rsid w:val="00924AC5"/>
    <w:rsid w:val="00926575"/>
    <w:rsid w:val="00926606"/>
    <w:rsid w:val="00927A24"/>
    <w:rsid w:val="00933B63"/>
    <w:rsid w:val="009367B1"/>
    <w:rsid w:val="0094189D"/>
    <w:rsid w:val="00941A9A"/>
    <w:rsid w:val="00943DB6"/>
    <w:rsid w:val="00945EB8"/>
    <w:rsid w:val="00946194"/>
    <w:rsid w:val="0094725C"/>
    <w:rsid w:val="00947E2B"/>
    <w:rsid w:val="00950985"/>
    <w:rsid w:val="00952139"/>
    <w:rsid w:val="00954E18"/>
    <w:rsid w:val="00962496"/>
    <w:rsid w:val="0096255E"/>
    <w:rsid w:val="00964DB8"/>
    <w:rsid w:val="0096550B"/>
    <w:rsid w:val="00967EE8"/>
    <w:rsid w:val="00967EF8"/>
    <w:rsid w:val="00970C69"/>
    <w:rsid w:val="009710B8"/>
    <w:rsid w:val="009713E6"/>
    <w:rsid w:val="009717A0"/>
    <w:rsid w:val="00971B77"/>
    <w:rsid w:val="009726FD"/>
    <w:rsid w:val="00972C82"/>
    <w:rsid w:val="009741C2"/>
    <w:rsid w:val="00974202"/>
    <w:rsid w:val="00976283"/>
    <w:rsid w:val="00976C5F"/>
    <w:rsid w:val="00977605"/>
    <w:rsid w:val="009801AB"/>
    <w:rsid w:val="00980576"/>
    <w:rsid w:val="009808BF"/>
    <w:rsid w:val="00981072"/>
    <w:rsid w:val="00981C84"/>
    <w:rsid w:val="00993524"/>
    <w:rsid w:val="009939C7"/>
    <w:rsid w:val="00993E5F"/>
    <w:rsid w:val="00994D2F"/>
    <w:rsid w:val="00996E4D"/>
    <w:rsid w:val="009A0BA9"/>
    <w:rsid w:val="009A3280"/>
    <w:rsid w:val="009B31A0"/>
    <w:rsid w:val="009B4E9D"/>
    <w:rsid w:val="009B5352"/>
    <w:rsid w:val="009B582C"/>
    <w:rsid w:val="009B69F4"/>
    <w:rsid w:val="009B760F"/>
    <w:rsid w:val="009C1100"/>
    <w:rsid w:val="009C145B"/>
    <w:rsid w:val="009C202F"/>
    <w:rsid w:val="009C2826"/>
    <w:rsid w:val="009C322A"/>
    <w:rsid w:val="009C5C08"/>
    <w:rsid w:val="009C5FF5"/>
    <w:rsid w:val="009C71AC"/>
    <w:rsid w:val="009C7565"/>
    <w:rsid w:val="009C7DD8"/>
    <w:rsid w:val="009D21DE"/>
    <w:rsid w:val="009D2526"/>
    <w:rsid w:val="009D5BCA"/>
    <w:rsid w:val="009D79F6"/>
    <w:rsid w:val="009E0164"/>
    <w:rsid w:val="009E096D"/>
    <w:rsid w:val="009E1F26"/>
    <w:rsid w:val="009E3801"/>
    <w:rsid w:val="009E66F7"/>
    <w:rsid w:val="009E7175"/>
    <w:rsid w:val="009E794E"/>
    <w:rsid w:val="009F23F9"/>
    <w:rsid w:val="009F2B75"/>
    <w:rsid w:val="009F36D5"/>
    <w:rsid w:val="009F441B"/>
    <w:rsid w:val="009F4FFC"/>
    <w:rsid w:val="009F55BC"/>
    <w:rsid w:val="009F6C04"/>
    <w:rsid w:val="00A013D9"/>
    <w:rsid w:val="00A0380E"/>
    <w:rsid w:val="00A054C0"/>
    <w:rsid w:val="00A0662B"/>
    <w:rsid w:val="00A0746C"/>
    <w:rsid w:val="00A108CD"/>
    <w:rsid w:val="00A14CDE"/>
    <w:rsid w:val="00A15564"/>
    <w:rsid w:val="00A16699"/>
    <w:rsid w:val="00A16CAF"/>
    <w:rsid w:val="00A20A59"/>
    <w:rsid w:val="00A21E19"/>
    <w:rsid w:val="00A238AF"/>
    <w:rsid w:val="00A2423C"/>
    <w:rsid w:val="00A252E2"/>
    <w:rsid w:val="00A30482"/>
    <w:rsid w:val="00A30D20"/>
    <w:rsid w:val="00A31962"/>
    <w:rsid w:val="00A319FE"/>
    <w:rsid w:val="00A34C09"/>
    <w:rsid w:val="00A35492"/>
    <w:rsid w:val="00A35C8E"/>
    <w:rsid w:val="00A37FE6"/>
    <w:rsid w:val="00A40512"/>
    <w:rsid w:val="00A41E36"/>
    <w:rsid w:val="00A43A71"/>
    <w:rsid w:val="00A43F24"/>
    <w:rsid w:val="00A45AA8"/>
    <w:rsid w:val="00A46489"/>
    <w:rsid w:val="00A46C99"/>
    <w:rsid w:val="00A506B6"/>
    <w:rsid w:val="00A5082F"/>
    <w:rsid w:val="00A517D7"/>
    <w:rsid w:val="00A569C8"/>
    <w:rsid w:val="00A56E1C"/>
    <w:rsid w:val="00A57D55"/>
    <w:rsid w:val="00A61AC2"/>
    <w:rsid w:val="00A629C0"/>
    <w:rsid w:val="00A6379F"/>
    <w:rsid w:val="00A646E8"/>
    <w:rsid w:val="00A64A6A"/>
    <w:rsid w:val="00A66B3B"/>
    <w:rsid w:val="00A708CB"/>
    <w:rsid w:val="00A71632"/>
    <w:rsid w:val="00A73024"/>
    <w:rsid w:val="00A745BD"/>
    <w:rsid w:val="00A754FB"/>
    <w:rsid w:val="00A7564D"/>
    <w:rsid w:val="00A76741"/>
    <w:rsid w:val="00A76784"/>
    <w:rsid w:val="00A77F96"/>
    <w:rsid w:val="00A80B72"/>
    <w:rsid w:val="00A8321E"/>
    <w:rsid w:val="00A851F5"/>
    <w:rsid w:val="00A85605"/>
    <w:rsid w:val="00A87ED8"/>
    <w:rsid w:val="00A9007F"/>
    <w:rsid w:val="00A90680"/>
    <w:rsid w:val="00A90F27"/>
    <w:rsid w:val="00A924F7"/>
    <w:rsid w:val="00A92AFC"/>
    <w:rsid w:val="00A92B52"/>
    <w:rsid w:val="00A92DD3"/>
    <w:rsid w:val="00A9492A"/>
    <w:rsid w:val="00AA269D"/>
    <w:rsid w:val="00AA4DD8"/>
    <w:rsid w:val="00AA534E"/>
    <w:rsid w:val="00AA75B0"/>
    <w:rsid w:val="00AA77CA"/>
    <w:rsid w:val="00AB03A1"/>
    <w:rsid w:val="00AB184F"/>
    <w:rsid w:val="00AB2EE7"/>
    <w:rsid w:val="00AB48BA"/>
    <w:rsid w:val="00AB5381"/>
    <w:rsid w:val="00AB631F"/>
    <w:rsid w:val="00AC01BA"/>
    <w:rsid w:val="00AC0316"/>
    <w:rsid w:val="00AC165C"/>
    <w:rsid w:val="00AC19EC"/>
    <w:rsid w:val="00AC2D1A"/>
    <w:rsid w:val="00AC4A16"/>
    <w:rsid w:val="00AC5186"/>
    <w:rsid w:val="00AD02C1"/>
    <w:rsid w:val="00AD0E3A"/>
    <w:rsid w:val="00AD1E89"/>
    <w:rsid w:val="00AD1E98"/>
    <w:rsid w:val="00AD3198"/>
    <w:rsid w:val="00AD43B8"/>
    <w:rsid w:val="00AD5317"/>
    <w:rsid w:val="00AD5DCD"/>
    <w:rsid w:val="00AD7301"/>
    <w:rsid w:val="00AD74F7"/>
    <w:rsid w:val="00AE0993"/>
    <w:rsid w:val="00AE0A57"/>
    <w:rsid w:val="00AE18BC"/>
    <w:rsid w:val="00AE2836"/>
    <w:rsid w:val="00AE363A"/>
    <w:rsid w:val="00AE5567"/>
    <w:rsid w:val="00AE5904"/>
    <w:rsid w:val="00AF00B1"/>
    <w:rsid w:val="00AF10A7"/>
    <w:rsid w:val="00AF1D38"/>
    <w:rsid w:val="00AF2259"/>
    <w:rsid w:val="00AF3EBB"/>
    <w:rsid w:val="00AF6060"/>
    <w:rsid w:val="00AF691A"/>
    <w:rsid w:val="00AF7916"/>
    <w:rsid w:val="00B00DE8"/>
    <w:rsid w:val="00B01C87"/>
    <w:rsid w:val="00B01E03"/>
    <w:rsid w:val="00B0417C"/>
    <w:rsid w:val="00B041E5"/>
    <w:rsid w:val="00B0632A"/>
    <w:rsid w:val="00B20D0A"/>
    <w:rsid w:val="00B21A77"/>
    <w:rsid w:val="00B21CB2"/>
    <w:rsid w:val="00B226A8"/>
    <w:rsid w:val="00B24511"/>
    <w:rsid w:val="00B25176"/>
    <w:rsid w:val="00B25F84"/>
    <w:rsid w:val="00B30444"/>
    <w:rsid w:val="00B30C00"/>
    <w:rsid w:val="00B30E50"/>
    <w:rsid w:val="00B31ECF"/>
    <w:rsid w:val="00B31FE0"/>
    <w:rsid w:val="00B32376"/>
    <w:rsid w:val="00B33396"/>
    <w:rsid w:val="00B33CFC"/>
    <w:rsid w:val="00B34E2F"/>
    <w:rsid w:val="00B36E74"/>
    <w:rsid w:val="00B4342E"/>
    <w:rsid w:val="00B44150"/>
    <w:rsid w:val="00B46601"/>
    <w:rsid w:val="00B50A25"/>
    <w:rsid w:val="00B51ED7"/>
    <w:rsid w:val="00B51EDD"/>
    <w:rsid w:val="00B54F67"/>
    <w:rsid w:val="00B607A6"/>
    <w:rsid w:val="00B60ADD"/>
    <w:rsid w:val="00B60C11"/>
    <w:rsid w:val="00B621A1"/>
    <w:rsid w:val="00B62BE5"/>
    <w:rsid w:val="00B6377A"/>
    <w:rsid w:val="00B641CF"/>
    <w:rsid w:val="00B70FAB"/>
    <w:rsid w:val="00B74DDD"/>
    <w:rsid w:val="00B774C1"/>
    <w:rsid w:val="00B77A70"/>
    <w:rsid w:val="00B77B5F"/>
    <w:rsid w:val="00B83F1F"/>
    <w:rsid w:val="00B84B0D"/>
    <w:rsid w:val="00B852C6"/>
    <w:rsid w:val="00B92F2A"/>
    <w:rsid w:val="00B94867"/>
    <w:rsid w:val="00B95B0B"/>
    <w:rsid w:val="00B95D13"/>
    <w:rsid w:val="00B96D0D"/>
    <w:rsid w:val="00BA0714"/>
    <w:rsid w:val="00BA124B"/>
    <w:rsid w:val="00BA47E4"/>
    <w:rsid w:val="00BA5113"/>
    <w:rsid w:val="00BA51A1"/>
    <w:rsid w:val="00BA58FD"/>
    <w:rsid w:val="00BB205D"/>
    <w:rsid w:val="00BB50CE"/>
    <w:rsid w:val="00BB555E"/>
    <w:rsid w:val="00BB6388"/>
    <w:rsid w:val="00BB75EC"/>
    <w:rsid w:val="00BB7610"/>
    <w:rsid w:val="00BB7B87"/>
    <w:rsid w:val="00BB7D4B"/>
    <w:rsid w:val="00BC79BD"/>
    <w:rsid w:val="00BD21EF"/>
    <w:rsid w:val="00BD48ED"/>
    <w:rsid w:val="00BD5707"/>
    <w:rsid w:val="00BD66F9"/>
    <w:rsid w:val="00BD6D19"/>
    <w:rsid w:val="00BD7B30"/>
    <w:rsid w:val="00BE25C4"/>
    <w:rsid w:val="00BE2B6C"/>
    <w:rsid w:val="00BE3666"/>
    <w:rsid w:val="00BF0A45"/>
    <w:rsid w:val="00BF13C3"/>
    <w:rsid w:val="00BF1787"/>
    <w:rsid w:val="00BF22BC"/>
    <w:rsid w:val="00BF387D"/>
    <w:rsid w:val="00BF5756"/>
    <w:rsid w:val="00C02B26"/>
    <w:rsid w:val="00C036E3"/>
    <w:rsid w:val="00C040EB"/>
    <w:rsid w:val="00C04339"/>
    <w:rsid w:val="00C04CD8"/>
    <w:rsid w:val="00C04F41"/>
    <w:rsid w:val="00C05206"/>
    <w:rsid w:val="00C064FB"/>
    <w:rsid w:val="00C0693C"/>
    <w:rsid w:val="00C06A26"/>
    <w:rsid w:val="00C07DEA"/>
    <w:rsid w:val="00C10360"/>
    <w:rsid w:val="00C1759A"/>
    <w:rsid w:val="00C177AA"/>
    <w:rsid w:val="00C2019E"/>
    <w:rsid w:val="00C21C20"/>
    <w:rsid w:val="00C228D5"/>
    <w:rsid w:val="00C22A40"/>
    <w:rsid w:val="00C22B45"/>
    <w:rsid w:val="00C25745"/>
    <w:rsid w:val="00C2607D"/>
    <w:rsid w:val="00C26980"/>
    <w:rsid w:val="00C2730C"/>
    <w:rsid w:val="00C37940"/>
    <w:rsid w:val="00C41DE9"/>
    <w:rsid w:val="00C421D3"/>
    <w:rsid w:val="00C5039E"/>
    <w:rsid w:val="00C50A58"/>
    <w:rsid w:val="00C5178C"/>
    <w:rsid w:val="00C51A97"/>
    <w:rsid w:val="00C52A79"/>
    <w:rsid w:val="00C55459"/>
    <w:rsid w:val="00C56163"/>
    <w:rsid w:val="00C56463"/>
    <w:rsid w:val="00C5662E"/>
    <w:rsid w:val="00C60CA9"/>
    <w:rsid w:val="00C64BBF"/>
    <w:rsid w:val="00C6548A"/>
    <w:rsid w:val="00C71CFD"/>
    <w:rsid w:val="00C72A9E"/>
    <w:rsid w:val="00C72F5A"/>
    <w:rsid w:val="00C73DA1"/>
    <w:rsid w:val="00C760F7"/>
    <w:rsid w:val="00C80736"/>
    <w:rsid w:val="00C808BF"/>
    <w:rsid w:val="00C80B28"/>
    <w:rsid w:val="00C82370"/>
    <w:rsid w:val="00C829AF"/>
    <w:rsid w:val="00C84845"/>
    <w:rsid w:val="00C84B55"/>
    <w:rsid w:val="00C86377"/>
    <w:rsid w:val="00C86617"/>
    <w:rsid w:val="00C871C7"/>
    <w:rsid w:val="00C87654"/>
    <w:rsid w:val="00C9477A"/>
    <w:rsid w:val="00C96BB2"/>
    <w:rsid w:val="00CA0275"/>
    <w:rsid w:val="00CA24FE"/>
    <w:rsid w:val="00CA3299"/>
    <w:rsid w:val="00CA3E40"/>
    <w:rsid w:val="00CA4B9A"/>
    <w:rsid w:val="00CA4D0B"/>
    <w:rsid w:val="00CA713A"/>
    <w:rsid w:val="00CA7193"/>
    <w:rsid w:val="00CA7228"/>
    <w:rsid w:val="00CB354E"/>
    <w:rsid w:val="00CB44E0"/>
    <w:rsid w:val="00CB6282"/>
    <w:rsid w:val="00CB70F0"/>
    <w:rsid w:val="00CC0FD2"/>
    <w:rsid w:val="00CC5BD6"/>
    <w:rsid w:val="00CC6CBB"/>
    <w:rsid w:val="00CC6FE8"/>
    <w:rsid w:val="00CD2205"/>
    <w:rsid w:val="00CD2EEB"/>
    <w:rsid w:val="00CD3CCE"/>
    <w:rsid w:val="00CD3DCE"/>
    <w:rsid w:val="00CD5459"/>
    <w:rsid w:val="00CE05F9"/>
    <w:rsid w:val="00CE25CE"/>
    <w:rsid w:val="00CE37F8"/>
    <w:rsid w:val="00CE53BE"/>
    <w:rsid w:val="00CF4E0C"/>
    <w:rsid w:val="00D02B87"/>
    <w:rsid w:val="00D05391"/>
    <w:rsid w:val="00D05DBC"/>
    <w:rsid w:val="00D06B1D"/>
    <w:rsid w:val="00D07235"/>
    <w:rsid w:val="00D07B51"/>
    <w:rsid w:val="00D07F56"/>
    <w:rsid w:val="00D1124B"/>
    <w:rsid w:val="00D11D9C"/>
    <w:rsid w:val="00D12CB5"/>
    <w:rsid w:val="00D14651"/>
    <w:rsid w:val="00D1599D"/>
    <w:rsid w:val="00D161A1"/>
    <w:rsid w:val="00D16879"/>
    <w:rsid w:val="00D21D2F"/>
    <w:rsid w:val="00D25018"/>
    <w:rsid w:val="00D34323"/>
    <w:rsid w:val="00D3521C"/>
    <w:rsid w:val="00D35AEF"/>
    <w:rsid w:val="00D36D3F"/>
    <w:rsid w:val="00D43DD3"/>
    <w:rsid w:val="00D462FD"/>
    <w:rsid w:val="00D519AB"/>
    <w:rsid w:val="00D52979"/>
    <w:rsid w:val="00D53480"/>
    <w:rsid w:val="00D618DD"/>
    <w:rsid w:val="00D61AB5"/>
    <w:rsid w:val="00D626C0"/>
    <w:rsid w:val="00D65C91"/>
    <w:rsid w:val="00D70E12"/>
    <w:rsid w:val="00D72A1F"/>
    <w:rsid w:val="00D73C17"/>
    <w:rsid w:val="00D74280"/>
    <w:rsid w:val="00D74784"/>
    <w:rsid w:val="00D75AFC"/>
    <w:rsid w:val="00D77B62"/>
    <w:rsid w:val="00D807DF"/>
    <w:rsid w:val="00D81138"/>
    <w:rsid w:val="00D820E1"/>
    <w:rsid w:val="00D845D6"/>
    <w:rsid w:val="00D908C3"/>
    <w:rsid w:val="00D913CF"/>
    <w:rsid w:val="00D935F8"/>
    <w:rsid w:val="00D95B10"/>
    <w:rsid w:val="00D97454"/>
    <w:rsid w:val="00D9755D"/>
    <w:rsid w:val="00D97742"/>
    <w:rsid w:val="00D97D51"/>
    <w:rsid w:val="00DA456B"/>
    <w:rsid w:val="00DA4594"/>
    <w:rsid w:val="00DA5D4D"/>
    <w:rsid w:val="00DA5D92"/>
    <w:rsid w:val="00DB014B"/>
    <w:rsid w:val="00DB0315"/>
    <w:rsid w:val="00DB039A"/>
    <w:rsid w:val="00DB0D53"/>
    <w:rsid w:val="00DB2DBF"/>
    <w:rsid w:val="00DB4311"/>
    <w:rsid w:val="00DB4B9B"/>
    <w:rsid w:val="00DC0872"/>
    <w:rsid w:val="00DC2D45"/>
    <w:rsid w:val="00DC4EE1"/>
    <w:rsid w:val="00DC5A19"/>
    <w:rsid w:val="00DC67B0"/>
    <w:rsid w:val="00DD0C92"/>
    <w:rsid w:val="00DD2733"/>
    <w:rsid w:val="00DD2BD4"/>
    <w:rsid w:val="00DD43F4"/>
    <w:rsid w:val="00DD5211"/>
    <w:rsid w:val="00DD5C0B"/>
    <w:rsid w:val="00DD71F5"/>
    <w:rsid w:val="00DE1B77"/>
    <w:rsid w:val="00DE61AE"/>
    <w:rsid w:val="00DE7F87"/>
    <w:rsid w:val="00DF0FC1"/>
    <w:rsid w:val="00DF2523"/>
    <w:rsid w:val="00DF48AE"/>
    <w:rsid w:val="00DF52C3"/>
    <w:rsid w:val="00E02596"/>
    <w:rsid w:val="00E03AF2"/>
    <w:rsid w:val="00E04A71"/>
    <w:rsid w:val="00E109C7"/>
    <w:rsid w:val="00E13513"/>
    <w:rsid w:val="00E14CB9"/>
    <w:rsid w:val="00E16653"/>
    <w:rsid w:val="00E21FF2"/>
    <w:rsid w:val="00E24772"/>
    <w:rsid w:val="00E25701"/>
    <w:rsid w:val="00E25937"/>
    <w:rsid w:val="00E30542"/>
    <w:rsid w:val="00E354AF"/>
    <w:rsid w:val="00E3601B"/>
    <w:rsid w:val="00E418D9"/>
    <w:rsid w:val="00E42F1F"/>
    <w:rsid w:val="00E43072"/>
    <w:rsid w:val="00E435A9"/>
    <w:rsid w:val="00E44CCC"/>
    <w:rsid w:val="00E44D03"/>
    <w:rsid w:val="00E525F6"/>
    <w:rsid w:val="00E5544E"/>
    <w:rsid w:val="00E55BF1"/>
    <w:rsid w:val="00E56BD7"/>
    <w:rsid w:val="00E60738"/>
    <w:rsid w:val="00E60B8D"/>
    <w:rsid w:val="00E618D2"/>
    <w:rsid w:val="00E61A9A"/>
    <w:rsid w:val="00E62319"/>
    <w:rsid w:val="00E660FD"/>
    <w:rsid w:val="00E673C0"/>
    <w:rsid w:val="00E710FF"/>
    <w:rsid w:val="00E76686"/>
    <w:rsid w:val="00E837D1"/>
    <w:rsid w:val="00E86D50"/>
    <w:rsid w:val="00E90B6D"/>
    <w:rsid w:val="00E918CE"/>
    <w:rsid w:val="00E925CE"/>
    <w:rsid w:val="00E936F7"/>
    <w:rsid w:val="00E95B3C"/>
    <w:rsid w:val="00E95E39"/>
    <w:rsid w:val="00E97149"/>
    <w:rsid w:val="00EA13BD"/>
    <w:rsid w:val="00EA1B69"/>
    <w:rsid w:val="00EA6537"/>
    <w:rsid w:val="00EA6B38"/>
    <w:rsid w:val="00EA763D"/>
    <w:rsid w:val="00EA763F"/>
    <w:rsid w:val="00EB05A1"/>
    <w:rsid w:val="00EB2633"/>
    <w:rsid w:val="00EB3707"/>
    <w:rsid w:val="00EB37AB"/>
    <w:rsid w:val="00EB4566"/>
    <w:rsid w:val="00EB60C8"/>
    <w:rsid w:val="00EB66C3"/>
    <w:rsid w:val="00EB7E5E"/>
    <w:rsid w:val="00EC15F4"/>
    <w:rsid w:val="00EC4592"/>
    <w:rsid w:val="00EC5730"/>
    <w:rsid w:val="00EC7854"/>
    <w:rsid w:val="00EC7E07"/>
    <w:rsid w:val="00ED045B"/>
    <w:rsid w:val="00ED17A9"/>
    <w:rsid w:val="00ED2020"/>
    <w:rsid w:val="00ED4D0F"/>
    <w:rsid w:val="00ED6CBA"/>
    <w:rsid w:val="00ED7079"/>
    <w:rsid w:val="00ED70E4"/>
    <w:rsid w:val="00ED7508"/>
    <w:rsid w:val="00ED75AF"/>
    <w:rsid w:val="00ED796C"/>
    <w:rsid w:val="00EE108B"/>
    <w:rsid w:val="00EE51FF"/>
    <w:rsid w:val="00EE549B"/>
    <w:rsid w:val="00EE59AE"/>
    <w:rsid w:val="00EE6547"/>
    <w:rsid w:val="00EF0131"/>
    <w:rsid w:val="00EF0E98"/>
    <w:rsid w:val="00EF3444"/>
    <w:rsid w:val="00EF5F5F"/>
    <w:rsid w:val="00F01E8C"/>
    <w:rsid w:val="00F01F8E"/>
    <w:rsid w:val="00F0670F"/>
    <w:rsid w:val="00F074C2"/>
    <w:rsid w:val="00F075AF"/>
    <w:rsid w:val="00F1052B"/>
    <w:rsid w:val="00F12D41"/>
    <w:rsid w:val="00F21ED8"/>
    <w:rsid w:val="00F22E51"/>
    <w:rsid w:val="00F24AD9"/>
    <w:rsid w:val="00F27EF7"/>
    <w:rsid w:val="00F310A2"/>
    <w:rsid w:val="00F31FDE"/>
    <w:rsid w:val="00F34C5F"/>
    <w:rsid w:val="00F355A8"/>
    <w:rsid w:val="00F355D7"/>
    <w:rsid w:val="00F37B6E"/>
    <w:rsid w:val="00F40A85"/>
    <w:rsid w:val="00F43FDA"/>
    <w:rsid w:val="00F4750E"/>
    <w:rsid w:val="00F51BBA"/>
    <w:rsid w:val="00F5390E"/>
    <w:rsid w:val="00F53D01"/>
    <w:rsid w:val="00F555C8"/>
    <w:rsid w:val="00F558B2"/>
    <w:rsid w:val="00F567B5"/>
    <w:rsid w:val="00F63459"/>
    <w:rsid w:val="00F6354C"/>
    <w:rsid w:val="00F6394F"/>
    <w:rsid w:val="00F63B47"/>
    <w:rsid w:val="00F673FC"/>
    <w:rsid w:val="00F67B2B"/>
    <w:rsid w:val="00F67DC5"/>
    <w:rsid w:val="00F7030B"/>
    <w:rsid w:val="00F74A2C"/>
    <w:rsid w:val="00F8030C"/>
    <w:rsid w:val="00F823F5"/>
    <w:rsid w:val="00F8500C"/>
    <w:rsid w:val="00F87F89"/>
    <w:rsid w:val="00F908A1"/>
    <w:rsid w:val="00F91609"/>
    <w:rsid w:val="00F92275"/>
    <w:rsid w:val="00F928DA"/>
    <w:rsid w:val="00F92B98"/>
    <w:rsid w:val="00F940C0"/>
    <w:rsid w:val="00F9449D"/>
    <w:rsid w:val="00F94F0F"/>
    <w:rsid w:val="00F9582E"/>
    <w:rsid w:val="00F96516"/>
    <w:rsid w:val="00F974E3"/>
    <w:rsid w:val="00FA1571"/>
    <w:rsid w:val="00FA28E4"/>
    <w:rsid w:val="00FA4EE5"/>
    <w:rsid w:val="00FA52E1"/>
    <w:rsid w:val="00FA550C"/>
    <w:rsid w:val="00FA6906"/>
    <w:rsid w:val="00FA6945"/>
    <w:rsid w:val="00FA700F"/>
    <w:rsid w:val="00FB0631"/>
    <w:rsid w:val="00FB0839"/>
    <w:rsid w:val="00FB35C1"/>
    <w:rsid w:val="00FB74D4"/>
    <w:rsid w:val="00FC2148"/>
    <w:rsid w:val="00FC5449"/>
    <w:rsid w:val="00FC6F00"/>
    <w:rsid w:val="00FC7B13"/>
    <w:rsid w:val="00FD39F2"/>
    <w:rsid w:val="00FD448C"/>
    <w:rsid w:val="00FD573F"/>
    <w:rsid w:val="00FD5915"/>
    <w:rsid w:val="00FD5E26"/>
    <w:rsid w:val="00FD722C"/>
    <w:rsid w:val="00FE02F1"/>
    <w:rsid w:val="00FE0C12"/>
    <w:rsid w:val="00FE24F7"/>
    <w:rsid w:val="00FE4153"/>
    <w:rsid w:val="00FE4D2C"/>
    <w:rsid w:val="00FE5265"/>
    <w:rsid w:val="00FE57DF"/>
    <w:rsid w:val="00FE5BB8"/>
    <w:rsid w:val="00FE7CB9"/>
    <w:rsid w:val="00FF0534"/>
    <w:rsid w:val="00FF0D11"/>
    <w:rsid w:val="00FF1221"/>
    <w:rsid w:val="00FF5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62">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2"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17"/>
    <w:rPr>
      <w:rFonts w:ascii="Times New Roman" w:hAnsi="Times New Roman"/>
      <w:sz w:val="24"/>
      <w:szCs w:val="24"/>
    </w:rPr>
  </w:style>
  <w:style w:type="paragraph" w:styleId="Heading1">
    <w:name w:val="heading 1"/>
    <w:basedOn w:val="Normal"/>
    <w:next w:val="Normal"/>
    <w:link w:val="Heading1Char"/>
    <w:uiPriority w:val="9"/>
    <w:qFormat/>
    <w:rsid w:val="00645886"/>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9"/>
    <w:qFormat/>
    <w:rsid w:val="00C86617"/>
    <w:pPr>
      <w:keepNext/>
      <w:spacing w:before="240" w:after="60"/>
      <w:outlineLvl w:val="3"/>
    </w:pPr>
    <w:rPr>
      <w:b/>
      <w:bCs/>
      <w:sz w:val="28"/>
      <w:szCs w:val="28"/>
    </w:rPr>
  </w:style>
  <w:style w:type="paragraph" w:styleId="Heading5">
    <w:name w:val="heading 5"/>
    <w:basedOn w:val="Normal"/>
    <w:next w:val="Normal"/>
    <w:link w:val="Heading5Char"/>
    <w:uiPriority w:val="99"/>
    <w:qFormat/>
    <w:rsid w:val="00C86617"/>
    <w:pPr>
      <w:keepNext/>
      <w:keepLines/>
      <w:spacing w:before="200"/>
      <w:outlineLvl w:val="4"/>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C86617"/>
    <w:rPr>
      <w:rFonts w:ascii="Calibri" w:hAnsi="Calibri" w:cs="Calibri"/>
      <w:b/>
      <w:bCs/>
      <w:sz w:val="28"/>
      <w:szCs w:val="28"/>
    </w:rPr>
  </w:style>
  <w:style w:type="character" w:customStyle="1" w:styleId="Heading5Char">
    <w:name w:val="Heading 5 Char"/>
    <w:basedOn w:val="DefaultParagraphFont"/>
    <w:link w:val="Heading5"/>
    <w:uiPriority w:val="99"/>
    <w:rsid w:val="00C86617"/>
    <w:rPr>
      <w:rFonts w:ascii="Cambria" w:hAnsi="Cambria" w:cs="Cambria"/>
      <w:color w:val="auto"/>
      <w:sz w:val="24"/>
      <w:szCs w:val="24"/>
    </w:rPr>
  </w:style>
  <w:style w:type="paragraph" w:styleId="NormalWeb">
    <w:name w:val="Normal (Web)"/>
    <w:basedOn w:val="Normal"/>
    <w:uiPriority w:val="99"/>
    <w:rsid w:val="00C86617"/>
    <w:pPr>
      <w:spacing w:before="100" w:beforeAutospacing="1" w:after="100" w:afterAutospacing="1"/>
    </w:pPr>
  </w:style>
  <w:style w:type="character" w:styleId="Strong">
    <w:name w:val="Strong"/>
    <w:basedOn w:val="DefaultParagraphFont"/>
    <w:uiPriority w:val="22"/>
    <w:qFormat/>
    <w:rsid w:val="00C86617"/>
    <w:rPr>
      <w:rFonts w:ascii="Times New Roman" w:hAnsi="Times New Roman" w:cs="Times New Roman"/>
      <w:b/>
      <w:bCs/>
    </w:rPr>
  </w:style>
  <w:style w:type="paragraph" w:customStyle="1" w:styleId="QuickA">
    <w:name w:val="Quick A."/>
    <w:basedOn w:val="Normal"/>
    <w:rsid w:val="00C86617"/>
    <w:pPr>
      <w:widowControl w:val="0"/>
      <w:numPr>
        <w:numId w:val="1"/>
      </w:numPr>
    </w:pPr>
  </w:style>
  <w:style w:type="paragraph" w:customStyle="1" w:styleId="a">
    <w:name w:val="_"/>
    <w:basedOn w:val="Normal"/>
    <w:uiPriority w:val="99"/>
    <w:rsid w:val="00C86617"/>
    <w:pPr>
      <w:widowControl w:val="0"/>
      <w:ind w:left="1440" w:hanging="720"/>
    </w:pPr>
  </w:style>
  <w:style w:type="paragraph" w:customStyle="1" w:styleId="QuickI">
    <w:name w:val="Quick I."/>
    <w:basedOn w:val="Normal"/>
    <w:uiPriority w:val="99"/>
    <w:rsid w:val="00C86617"/>
    <w:pPr>
      <w:widowControl w:val="0"/>
      <w:numPr>
        <w:numId w:val="2"/>
      </w:numPr>
      <w:ind w:left="720" w:hanging="720"/>
    </w:pPr>
  </w:style>
  <w:style w:type="paragraph" w:styleId="BalloonText">
    <w:name w:val="Balloon Text"/>
    <w:basedOn w:val="Normal"/>
    <w:link w:val="BalloonTextChar"/>
    <w:uiPriority w:val="99"/>
    <w:rsid w:val="00C86617"/>
    <w:rPr>
      <w:rFonts w:ascii="Tahoma" w:hAnsi="Tahoma" w:cs="Tahoma"/>
      <w:sz w:val="16"/>
      <w:szCs w:val="16"/>
    </w:rPr>
  </w:style>
  <w:style w:type="character" w:customStyle="1" w:styleId="BalloonTextChar">
    <w:name w:val="Balloon Text Char"/>
    <w:basedOn w:val="DefaultParagraphFont"/>
    <w:link w:val="BalloonText"/>
    <w:uiPriority w:val="99"/>
    <w:rsid w:val="00C86617"/>
    <w:rPr>
      <w:rFonts w:ascii="Times New Roman" w:hAnsi="Times New Roman" w:cs="Times New Roman"/>
      <w:sz w:val="2"/>
      <w:szCs w:val="2"/>
    </w:rPr>
  </w:style>
  <w:style w:type="character" w:styleId="Hyperlink">
    <w:name w:val="Hyperlink"/>
    <w:basedOn w:val="DefaultParagraphFont"/>
    <w:uiPriority w:val="99"/>
    <w:rsid w:val="00C86617"/>
    <w:rPr>
      <w:rFonts w:ascii="Times New Roman" w:hAnsi="Times New Roman" w:cs="Times New Roman"/>
      <w:color w:val="0000FF"/>
      <w:u w:val="single"/>
    </w:rPr>
  </w:style>
  <w:style w:type="paragraph" w:styleId="Header">
    <w:name w:val="header"/>
    <w:basedOn w:val="Normal"/>
    <w:link w:val="HeaderChar"/>
    <w:uiPriority w:val="99"/>
    <w:rsid w:val="00C86617"/>
    <w:pPr>
      <w:tabs>
        <w:tab w:val="center" w:pos="4320"/>
        <w:tab w:val="right" w:pos="8640"/>
      </w:tabs>
    </w:pPr>
  </w:style>
  <w:style w:type="character" w:customStyle="1" w:styleId="HeaderChar">
    <w:name w:val="Header Char"/>
    <w:basedOn w:val="DefaultParagraphFont"/>
    <w:link w:val="Header"/>
    <w:uiPriority w:val="99"/>
    <w:rsid w:val="00C86617"/>
    <w:rPr>
      <w:rFonts w:ascii="Times New Roman" w:hAnsi="Times New Roman" w:cs="Times New Roman"/>
      <w:sz w:val="24"/>
      <w:szCs w:val="24"/>
    </w:rPr>
  </w:style>
  <w:style w:type="paragraph" w:styleId="Footer">
    <w:name w:val="footer"/>
    <w:basedOn w:val="Normal"/>
    <w:link w:val="FooterChar"/>
    <w:uiPriority w:val="99"/>
    <w:rsid w:val="00C86617"/>
    <w:pPr>
      <w:tabs>
        <w:tab w:val="center" w:pos="4320"/>
        <w:tab w:val="right" w:pos="8640"/>
      </w:tabs>
    </w:pPr>
  </w:style>
  <w:style w:type="character" w:customStyle="1" w:styleId="FooterChar">
    <w:name w:val="Footer Char"/>
    <w:basedOn w:val="DefaultParagraphFont"/>
    <w:link w:val="Footer"/>
    <w:uiPriority w:val="99"/>
    <w:rsid w:val="00C86617"/>
    <w:rPr>
      <w:rFonts w:ascii="Times New Roman" w:hAnsi="Times New Roman" w:cs="Times New Roman"/>
      <w:sz w:val="24"/>
      <w:szCs w:val="24"/>
    </w:rPr>
  </w:style>
  <w:style w:type="paragraph" w:styleId="BodyTextIndent2">
    <w:name w:val="Body Text Indent 2"/>
    <w:basedOn w:val="Normal"/>
    <w:link w:val="BodyTextIndent2Char"/>
    <w:uiPriority w:val="99"/>
    <w:rsid w:val="00C86617"/>
    <w:pPr>
      <w:widowControl w:val="0"/>
      <w:ind w:left="1080" w:hanging="360"/>
    </w:pPr>
  </w:style>
  <w:style w:type="character" w:customStyle="1" w:styleId="BodyTextIndent2Char">
    <w:name w:val="Body Text Indent 2 Char"/>
    <w:basedOn w:val="DefaultParagraphFont"/>
    <w:link w:val="BodyTextIndent2"/>
    <w:uiPriority w:val="99"/>
    <w:rsid w:val="00C86617"/>
    <w:rPr>
      <w:rFonts w:ascii="Times New Roman" w:hAnsi="Times New Roman" w:cs="Times New Roman"/>
      <w:snapToGrid w:val="0"/>
      <w:sz w:val="24"/>
      <w:szCs w:val="24"/>
    </w:rPr>
  </w:style>
  <w:style w:type="paragraph" w:styleId="ListParagraph">
    <w:name w:val="List Paragraph"/>
    <w:basedOn w:val="Normal"/>
    <w:uiPriority w:val="34"/>
    <w:qFormat/>
    <w:rsid w:val="00C86617"/>
    <w:pPr>
      <w:ind w:left="720"/>
    </w:pPr>
  </w:style>
  <w:style w:type="paragraph" w:customStyle="1" w:styleId="1">
    <w:name w:val="_1"/>
    <w:basedOn w:val="Normal"/>
    <w:uiPriority w:val="99"/>
    <w:rsid w:val="00C86617"/>
    <w:pPr>
      <w:widowControl w:val="0"/>
      <w:ind w:left="2160" w:hanging="720"/>
    </w:pPr>
  </w:style>
  <w:style w:type="paragraph" w:styleId="BodyText2">
    <w:name w:val="Body Text 2"/>
    <w:basedOn w:val="Normal"/>
    <w:link w:val="BodyText2Char"/>
    <w:uiPriority w:val="99"/>
    <w:rsid w:val="00C86617"/>
    <w:pPr>
      <w:spacing w:after="120"/>
      <w:ind w:left="360"/>
    </w:pPr>
  </w:style>
  <w:style w:type="character" w:customStyle="1" w:styleId="BodyText2Char">
    <w:name w:val="Body Text 2 Char"/>
    <w:basedOn w:val="DefaultParagraphFont"/>
    <w:link w:val="BodyText2"/>
    <w:uiPriority w:val="99"/>
    <w:semiHidden/>
    <w:rsid w:val="0017538D"/>
    <w:rPr>
      <w:rFonts w:ascii="Times New Roman" w:hAnsi="Times New Roman"/>
      <w:sz w:val="24"/>
      <w:szCs w:val="24"/>
    </w:rPr>
  </w:style>
  <w:style w:type="character" w:customStyle="1" w:styleId="BodyTextIndentChar">
    <w:name w:val="Body Text Indent Char"/>
    <w:basedOn w:val="DefaultParagraphFont"/>
    <w:uiPriority w:val="99"/>
    <w:rsid w:val="00C86617"/>
    <w:rPr>
      <w:rFonts w:ascii="Times New Roman" w:hAnsi="Times New Roman" w:cs="Times New Roman"/>
      <w:sz w:val="24"/>
      <w:szCs w:val="24"/>
    </w:rPr>
  </w:style>
  <w:style w:type="paragraph" w:styleId="BodyTextIndent3">
    <w:name w:val="Body Text Indent 3"/>
    <w:basedOn w:val="Normal"/>
    <w:link w:val="BodyTextIndent3Char"/>
    <w:uiPriority w:val="99"/>
    <w:rsid w:val="00C86617"/>
    <w:pPr>
      <w:spacing w:after="120"/>
      <w:ind w:left="360"/>
    </w:pPr>
    <w:rPr>
      <w:sz w:val="16"/>
      <w:szCs w:val="16"/>
    </w:rPr>
  </w:style>
  <w:style w:type="character" w:customStyle="1" w:styleId="BodyTextIndent3Char">
    <w:name w:val="Body Text Indent 3 Char"/>
    <w:basedOn w:val="DefaultParagraphFont"/>
    <w:link w:val="BodyTextIndent3"/>
    <w:uiPriority w:val="99"/>
    <w:rsid w:val="00C86617"/>
    <w:rPr>
      <w:rFonts w:ascii="Times New Roman" w:hAnsi="Times New Roman" w:cs="Times New Roman"/>
      <w:sz w:val="16"/>
      <w:szCs w:val="16"/>
    </w:rPr>
  </w:style>
  <w:style w:type="paragraph" w:styleId="List2">
    <w:name w:val="List 2"/>
    <w:basedOn w:val="Normal"/>
    <w:uiPriority w:val="99"/>
    <w:rsid w:val="00C86617"/>
    <w:pPr>
      <w:widowControl w:val="0"/>
      <w:ind w:left="720" w:hanging="360"/>
    </w:pPr>
  </w:style>
  <w:style w:type="paragraph" w:customStyle="1" w:styleId="Default">
    <w:name w:val="Default"/>
    <w:rsid w:val="00C86617"/>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C86617"/>
    <w:rPr>
      <w:color w:val="auto"/>
    </w:rPr>
  </w:style>
  <w:style w:type="paragraph" w:customStyle="1" w:styleId="CM1">
    <w:name w:val="CM1"/>
    <w:basedOn w:val="Default"/>
    <w:next w:val="Default"/>
    <w:uiPriority w:val="99"/>
    <w:rsid w:val="00C86617"/>
    <w:pPr>
      <w:spacing w:line="253" w:lineRule="atLeast"/>
    </w:pPr>
    <w:rPr>
      <w:color w:val="auto"/>
    </w:rPr>
  </w:style>
  <w:style w:type="character" w:styleId="FollowedHyperlink">
    <w:name w:val="FollowedHyperlink"/>
    <w:basedOn w:val="DefaultParagraphFont"/>
    <w:uiPriority w:val="99"/>
    <w:rsid w:val="00C86617"/>
    <w:rPr>
      <w:rFonts w:ascii="Times New Roman" w:hAnsi="Times New Roman" w:cs="Times New Roman"/>
      <w:color w:val="800080"/>
      <w:u w:val="single"/>
    </w:rPr>
  </w:style>
  <w:style w:type="table" w:styleId="TableGrid">
    <w:name w:val="Table Grid"/>
    <w:basedOn w:val="TableNormal"/>
    <w:uiPriority w:val="59"/>
    <w:rsid w:val="009B582C"/>
    <w:pPr>
      <w:ind w:left="720"/>
    </w:pPr>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C">
    <w:name w:val="LEVEL C"/>
    <w:basedOn w:val="Default"/>
    <w:next w:val="Default"/>
    <w:uiPriority w:val="99"/>
    <w:rsid w:val="00EB3707"/>
    <w:rPr>
      <w:color w:val="auto"/>
    </w:rPr>
  </w:style>
  <w:style w:type="character" w:customStyle="1" w:styleId="Heading1Char">
    <w:name w:val="Heading 1 Char"/>
    <w:basedOn w:val="DefaultParagraphFont"/>
    <w:link w:val="Heading1"/>
    <w:uiPriority w:val="9"/>
    <w:rsid w:val="00645886"/>
    <w:rPr>
      <w:rFonts w:ascii="Cambria" w:eastAsia="Times New Roman" w:hAnsi="Cambria" w:cs="Times New Roman"/>
      <w:b/>
      <w:bCs/>
      <w:kern w:val="32"/>
      <w:sz w:val="32"/>
      <w:szCs w:val="32"/>
    </w:rPr>
  </w:style>
  <w:style w:type="paragraph" w:customStyle="1" w:styleId="Bullet1">
    <w:name w:val="Bullet 1"/>
    <w:basedOn w:val="Normal"/>
    <w:uiPriority w:val="99"/>
    <w:rsid w:val="00645886"/>
    <w:pPr>
      <w:numPr>
        <w:numId w:val="16"/>
      </w:numPr>
      <w:spacing w:after="120"/>
    </w:pPr>
    <w:rPr>
      <w:rFonts w:ascii="Calibri" w:eastAsia="Calibri" w:hAnsi="Calibri"/>
      <w:sz w:val="22"/>
      <w:szCs w:val="22"/>
    </w:rPr>
  </w:style>
  <w:style w:type="character" w:styleId="CommentReference">
    <w:name w:val="annotation reference"/>
    <w:basedOn w:val="DefaultParagraphFont"/>
    <w:uiPriority w:val="99"/>
    <w:semiHidden/>
    <w:unhideWhenUsed/>
    <w:rsid w:val="00A14CDE"/>
    <w:rPr>
      <w:sz w:val="16"/>
      <w:szCs w:val="16"/>
    </w:rPr>
  </w:style>
  <w:style w:type="paragraph" w:styleId="CommentText">
    <w:name w:val="annotation text"/>
    <w:basedOn w:val="Normal"/>
    <w:link w:val="CommentTextChar"/>
    <w:uiPriority w:val="99"/>
    <w:semiHidden/>
    <w:unhideWhenUsed/>
    <w:rsid w:val="00A14CDE"/>
    <w:rPr>
      <w:sz w:val="20"/>
      <w:szCs w:val="20"/>
    </w:rPr>
  </w:style>
  <w:style w:type="character" w:customStyle="1" w:styleId="CommentTextChar">
    <w:name w:val="Comment Text Char"/>
    <w:basedOn w:val="DefaultParagraphFont"/>
    <w:link w:val="CommentText"/>
    <w:uiPriority w:val="99"/>
    <w:semiHidden/>
    <w:rsid w:val="00A14CD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4CDE"/>
    <w:rPr>
      <w:b/>
      <w:bCs/>
    </w:rPr>
  </w:style>
  <w:style w:type="character" w:customStyle="1" w:styleId="CommentSubjectChar">
    <w:name w:val="Comment Subject Char"/>
    <w:basedOn w:val="CommentTextChar"/>
    <w:link w:val="CommentSubject"/>
    <w:uiPriority w:val="99"/>
    <w:semiHidden/>
    <w:rsid w:val="00A14CDE"/>
    <w:rPr>
      <w:rFonts w:ascii="Times New Roman" w:hAnsi="Times New Roman"/>
      <w:b/>
      <w:bCs/>
    </w:rPr>
  </w:style>
  <w:style w:type="paragraph" w:styleId="Revision">
    <w:name w:val="Revision"/>
    <w:hidden/>
    <w:uiPriority w:val="99"/>
    <w:semiHidden/>
    <w:rsid w:val="00326E3A"/>
    <w:rPr>
      <w:rFonts w:ascii="Times New Roman" w:hAnsi="Times New Roman"/>
      <w:sz w:val="24"/>
      <w:szCs w:val="24"/>
    </w:rPr>
  </w:style>
  <w:style w:type="paragraph" w:styleId="FootnoteText">
    <w:name w:val="footnote text"/>
    <w:basedOn w:val="Normal"/>
    <w:link w:val="FootnoteTextChar"/>
    <w:uiPriority w:val="99"/>
    <w:semiHidden/>
    <w:unhideWhenUsed/>
    <w:rsid w:val="003A4F7C"/>
    <w:rPr>
      <w:sz w:val="20"/>
      <w:szCs w:val="20"/>
    </w:rPr>
  </w:style>
  <w:style w:type="character" w:customStyle="1" w:styleId="FootnoteTextChar">
    <w:name w:val="Footnote Text Char"/>
    <w:basedOn w:val="DefaultParagraphFont"/>
    <w:link w:val="FootnoteText"/>
    <w:uiPriority w:val="99"/>
    <w:semiHidden/>
    <w:rsid w:val="003A4F7C"/>
    <w:rPr>
      <w:rFonts w:ascii="Times New Roman" w:hAnsi="Times New Roman"/>
    </w:rPr>
  </w:style>
  <w:style w:type="character" w:styleId="FootnoteReference">
    <w:name w:val="footnote reference"/>
    <w:basedOn w:val="DefaultParagraphFont"/>
    <w:uiPriority w:val="99"/>
    <w:semiHidden/>
    <w:unhideWhenUsed/>
    <w:rsid w:val="003A4F7C"/>
    <w:rPr>
      <w:vertAlign w:val="superscript"/>
    </w:rPr>
  </w:style>
  <w:style w:type="table" w:customStyle="1" w:styleId="TableGrid1">
    <w:name w:val="Table Grid1"/>
    <w:basedOn w:val="TableNormal"/>
    <w:next w:val="TableGrid"/>
    <w:uiPriority w:val="59"/>
    <w:rsid w:val="00576EB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2"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17"/>
    <w:rPr>
      <w:rFonts w:ascii="Times New Roman" w:hAnsi="Times New Roman"/>
      <w:sz w:val="24"/>
      <w:szCs w:val="24"/>
    </w:rPr>
  </w:style>
  <w:style w:type="paragraph" w:styleId="Heading1">
    <w:name w:val="heading 1"/>
    <w:basedOn w:val="Normal"/>
    <w:next w:val="Normal"/>
    <w:link w:val="Heading1Char"/>
    <w:uiPriority w:val="9"/>
    <w:qFormat/>
    <w:rsid w:val="00645886"/>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9"/>
    <w:qFormat/>
    <w:rsid w:val="00C86617"/>
    <w:pPr>
      <w:keepNext/>
      <w:spacing w:before="240" w:after="60"/>
      <w:outlineLvl w:val="3"/>
    </w:pPr>
    <w:rPr>
      <w:b/>
      <w:bCs/>
      <w:sz w:val="28"/>
      <w:szCs w:val="28"/>
    </w:rPr>
  </w:style>
  <w:style w:type="paragraph" w:styleId="Heading5">
    <w:name w:val="heading 5"/>
    <w:basedOn w:val="Normal"/>
    <w:next w:val="Normal"/>
    <w:link w:val="Heading5Char"/>
    <w:uiPriority w:val="99"/>
    <w:qFormat/>
    <w:rsid w:val="00C86617"/>
    <w:pPr>
      <w:keepNext/>
      <w:keepLines/>
      <w:spacing w:before="200"/>
      <w:outlineLvl w:val="4"/>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C86617"/>
    <w:rPr>
      <w:rFonts w:ascii="Calibri" w:hAnsi="Calibri" w:cs="Calibri"/>
      <w:b/>
      <w:bCs/>
      <w:sz w:val="28"/>
      <w:szCs w:val="28"/>
    </w:rPr>
  </w:style>
  <w:style w:type="character" w:customStyle="1" w:styleId="Heading5Char">
    <w:name w:val="Heading 5 Char"/>
    <w:basedOn w:val="DefaultParagraphFont"/>
    <w:link w:val="Heading5"/>
    <w:uiPriority w:val="99"/>
    <w:rsid w:val="00C86617"/>
    <w:rPr>
      <w:rFonts w:ascii="Cambria" w:hAnsi="Cambria" w:cs="Cambria"/>
      <w:color w:val="auto"/>
      <w:sz w:val="24"/>
      <w:szCs w:val="24"/>
    </w:rPr>
  </w:style>
  <w:style w:type="paragraph" w:styleId="NormalWeb">
    <w:name w:val="Normal (Web)"/>
    <w:basedOn w:val="Normal"/>
    <w:uiPriority w:val="99"/>
    <w:rsid w:val="00C86617"/>
    <w:pPr>
      <w:spacing w:before="100" w:beforeAutospacing="1" w:after="100" w:afterAutospacing="1"/>
    </w:pPr>
  </w:style>
  <w:style w:type="character" w:styleId="Strong">
    <w:name w:val="Strong"/>
    <w:basedOn w:val="DefaultParagraphFont"/>
    <w:uiPriority w:val="22"/>
    <w:qFormat/>
    <w:rsid w:val="00C86617"/>
    <w:rPr>
      <w:rFonts w:ascii="Times New Roman" w:hAnsi="Times New Roman" w:cs="Times New Roman"/>
      <w:b/>
      <w:bCs/>
    </w:rPr>
  </w:style>
  <w:style w:type="paragraph" w:customStyle="1" w:styleId="QuickA">
    <w:name w:val="Quick A."/>
    <w:basedOn w:val="Normal"/>
    <w:rsid w:val="00C86617"/>
    <w:pPr>
      <w:widowControl w:val="0"/>
      <w:numPr>
        <w:numId w:val="1"/>
      </w:numPr>
    </w:pPr>
  </w:style>
  <w:style w:type="paragraph" w:customStyle="1" w:styleId="a">
    <w:name w:val="_"/>
    <w:basedOn w:val="Normal"/>
    <w:uiPriority w:val="99"/>
    <w:rsid w:val="00C86617"/>
    <w:pPr>
      <w:widowControl w:val="0"/>
      <w:ind w:left="1440" w:hanging="720"/>
    </w:pPr>
  </w:style>
  <w:style w:type="paragraph" w:customStyle="1" w:styleId="QuickI">
    <w:name w:val="Quick I."/>
    <w:basedOn w:val="Normal"/>
    <w:uiPriority w:val="99"/>
    <w:rsid w:val="00C86617"/>
    <w:pPr>
      <w:widowControl w:val="0"/>
      <w:numPr>
        <w:numId w:val="2"/>
      </w:numPr>
      <w:ind w:left="720" w:hanging="720"/>
    </w:pPr>
  </w:style>
  <w:style w:type="paragraph" w:styleId="BalloonText">
    <w:name w:val="Balloon Text"/>
    <w:basedOn w:val="Normal"/>
    <w:link w:val="BalloonTextChar"/>
    <w:uiPriority w:val="99"/>
    <w:rsid w:val="00C86617"/>
    <w:rPr>
      <w:rFonts w:ascii="Tahoma" w:hAnsi="Tahoma" w:cs="Tahoma"/>
      <w:sz w:val="16"/>
      <w:szCs w:val="16"/>
    </w:rPr>
  </w:style>
  <w:style w:type="character" w:customStyle="1" w:styleId="BalloonTextChar">
    <w:name w:val="Balloon Text Char"/>
    <w:basedOn w:val="DefaultParagraphFont"/>
    <w:link w:val="BalloonText"/>
    <w:uiPriority w:val="99"/>
    <w:rsid w:val="00C86617"/>
    <w:rPr>
      <w:rFonts w:ascii="Times New Roman" w:hAnsi="Times New Roman" w:cs="Times New Roman"/>
      <w:sz w:val="2"/>
      <w:szCs w:val="2"/>
    </w:rPr>
  </w:style>
  <w:style w:type="character" w:styleId="Hyperlink">
    <w:name w:val="Hyperlink"/>
    <w:basedOn w:val="DefaultParagraphFont"/>
    <w:uiPriority w:val="99"/>
    <w:rsid w:val="00C86617"/>
    <w:rPr>
      <w:rFonts w:ascii="Times New Roman" w:hAnsi="Times New Roman" w:cs="Times New Roman"/>
      <w:color w:val="0000FF"/>
      <w:u w:val="single"/>
    </w:rPr>
  </w:style>
  <w:style w:type="paragraph" w:styleId="Header">
    <w:name w:val="header"/>
    <w:basedOn w:val="Normal"/>
    <w:link w:val="HeaderChar"/>
    <w:uiPriority w:val="99"/>
    <w:rsid w:val="00C86617"/>
    <w:pPr>
      <w:tabs>
        <w:tab w:val="center" w:pos="4320"/>
        <w:tab w:val="right" w:pos="8640"/>
      </w:tabs>
    </w:pPr>
  </w:style>
  <w:style w:type="character" w:customStyle="1" w:styleId="HeaderChar">
    <w:name w:val="Header Char"/>
    <w:basedOn w:val="DefaultParagraphFont"/>
    <w:link w:val="Header"/>
    <w:uiPriority w:val="99"/>
    <w:rsid w:val="00C86617"/>
    <w:rPr>
      <w:rFonts w:ascii="Times New Roman" w:hAnsi="Times New Roman" w:cs="Times New Roman"/>
      <w:sz w:val="24"/>
      <w:szCs w:val="24"/>
    </w:rPr>
  </w:style>
  <w:style w:type="paragraph" w:styleId="Footer">
    <w:name w:val="footer"/>
    <w:basedOn w:val="Normal"/>
    <w:link w:val="FooterChar"/>
    <w:uiPriority w:val="99"/>
    <w:rsid w:val="00C86617"/>
    <w:pPr>
      <w:tabs>
        <w:tab w:val="center" w:pos="4320"/>
        <w:tab w:val="right" w:pos="8640"/>
      </w:tabs>
    </w:pPr>
  </w:style>
  <w:style w:type="character" w:customStyle="1" w:styleId="FooterChar">
    <w:name w:val="Footer Char"/>
    <w:basedOn w:val="DefaultParagraphFont"/>
    <w:link w:val="Footer"/>
    <w:uiPriority w:val="99"/>
    <w:rsid w:val="00C86617"/>
    <w:rPr>
      <w:rFonts w:ascii="Times New Roman" w:hAnsi="Times New Roman" w:cs="Times New Roman"/>
      <w:sz w:val="24"/>
      <w:szCs w:val="24"/>
    </w:rPr>
  </w:style>
  <w:style w:type="paragraph" w:styleId="BodyTextIndent2">
    <w:name w:val="Body Text Indent 2"/>
    <w:basedOn w:val="Normal"/>
    <w:link w:val="BodyTextIndent2Char"/>
    <w:uiPriority w:val="99"/>
    <w:rsid w:val="00C86617"/>
    <w:pPr>
      <w:widowControl w:val="0"/>
      <w:ind w:left="1080" w:hanging="360"/>
    </w:pPr>
  </w:style>
  <w:style w:type="character" w:customStyle="1" w:styleId="BodyTextIndent2Char">
    <w:name w:val="Body Text Indent 2 Char"/>
    <w:basedOn w:val="DefaultParagraphFont"/>
    <w:link w:val="BodyTextIndent2"/>
    <w:uiPriority w:val="99"/>
    <w:rsid w:val="00C86617"/>
    <w:rPr>
      <w:rFonts w:ascii="Times New Roman" w:hAnsi="Times New Roman" w:cs="Times New Roman"/>
      <w:snapToGrid w:val="0"/>
      <w:sz w:val="24"/>
      <w:szCs w:val="24"/>
    </w:rPr>
  </w:style>
  <w:style w:type="paragraph" w:styleId="ListParagraph">
    <w:name w:val="List Paragraph"/>
    <w:basedOn w:val="Normal"/>
    <w:uiPriority w:val="34"/>
    <w:qFormat/>
    <w:rsid w:val="00C86617"/>
    <w:pPr>
      <w:ind w:left="720"/>
    </w:pPr>
  </w:style>
  <w:style w:type="paragraph" w:customStyle="1" w:styleId="1">
    <w:name w:val="_1"/>
    <w:basedOn w:val="Normal"/>
    <w:uiPriority w:val="99"/>
    <w:rsid w:val="00C86617"/>
    <w:pPr>
      <w:widowControl w:val="0"/>
      <w:ind w:left="2160" w:hanging="720"/>
    </w:pPr>
  </w:style>
  <w:style w:type="paragraph" w:styleId="BodyText2">
    <w:name w:val="Body Text 2"/>
    <w:basedOn w:val="Normal"/>
    <w:link w:val="BodyText2Char"/>
    <w:uiPriority w:val="99"/>
    <w:rsid w:val="00C86617"/>
    <w:pPr>
      <w:spacing w:after="120"/>
      <w:ind w:left="360"/>
    </w:pPr>
  </w:style>
  <w:style w:type="character" w:customStyle="1" w:styleId="BodyText2Char">
    <w:name w:val="Body Text 2 Char"/>
    <w:basedOn w:val="DefaultParagraphFont"/>
    <w:link w:val="BodyText2"/>
    <w:uiPriority w:val="99"/>
    <w:semiHidden/>
    <w:rsid w:val="0017538D"/>
    <w:rPr>
      <w:rFonts w:ascii="Times New Roman" w:hAnsi="Times New Roman"/>
      <w:sz w:val="24"/>
      <w:szCs w:val="24"/>
    </w:rPr>
  </w:style>
  <w:style w:type="character" w:customStyle="1" w:styleId="BodyTextIndentChar">
    <w:name w:val="Body Text Indent Char"/>
    <w:basedOn w:val="DefaultParagraphFont"/>
    <w:uiPriority w:val="99"/>
    <w:rsid w:val="00C86617"/>
    <w:rPr>
      <w:rFonts w:ascii="Times New Roman" w:hAnsi="Times New Roman" w:cs="Times New Roman"/>
      <w:sz w:val="24"/>
      <w:szCs w:val="24"/>
    </w:rPr>
  </w:style>
  <w:style w:type="paragraph" w:styleId="BodyTextIndent3">
    <w:name w:val="Body Text Indent 3"/>
    <w:basedOn w:val="Normal"/>
    <w:link w:val="BodyTextIndent3Char"/>
    <w:uiPriority w:val="99"/>
    <w:rsid w:val="00C86617"/>
    <w:pPr>
      <w:spacing w:after="120"/>
      <w:ind w:left="360"/>
    </w:pPr>
    <w:rPr>
      <w:sz w:val="16"/>
      <w:szCs w:val="16"/>
    </w:rPr>
  </w:style>
  <w:style w:type="character" w:customStyle="1" w:styleId="BodyTextIndent3Char">
    <w:name w:val="Body Text Indent 3 Char"/>
    <w:basedOn w:val="DefaultParagraphFont"/>
    <w:link w:val="BodyTextIndent3"/>
    <w:uiPriority w:val="99"/>
    <w:rsid w:val="00C86617"/>
    <w:rPr>
      <w:rFonts w:ascii="Times New Roman" w:hAnsi="Times New Roman" w:cs="Times New Roman"/>
      <w:sz w:val="16"/>
      <w:szCs w:val="16"/>
    </w:rPr>
  </w:style>
  <w:style w:type="paragraph" w:styleId="List2">
    <w:name w:val="List 2"/>
    <w:basedOn w:val="Normal"/>
    <w:uiPriority w:val="99"/>
    <w:rsid w:val="00C86617"/>
    <w:pPr>
      <w:widowControl w:val="0"/>
      <w:ind w:left="720" w:hanging="360"/>
    </w:pPr>
  </w:style>
  <w:style w:type="paragraph" w:customStyle="1" w:styleId="Default">
    <w:name w:val="Default"/>
    <w:rsid w:val="00C86617"/>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C86617"/>
    <w:rPr>
      <w:color w:val="auto"/>
    </w:rPr>
  </w:style>
  <w:style w:type="paragraph" w:customStyle="1" w:styleId="CM1">
    <w:name w:val="CM1"/>
    <w:basedOn w:val="Default"/>
    <w:next w:val="Default"/>
    <w:uiPriority w:val="99"/>
    <w:rsid w:val="00C86617"/>
    <w:pPr>
      <w:spacing w:line="253" w:lineRule="atLeast"/>
    </w:pPr>
    <w:rPr>
      <w:color w:val="auto"/>
    </w:rPr>
  </w:style>
  <w:style w:type="character" w:styleId="FollowedHyperlink">
    <w:name w:val="FollowedHyperlink"/>
    <w:basedOn w:val="DefaultParagraphFont"/>
    <w:uiPriority w:val="99"/>
    <w:rsid w:val="00C86617"/>
    <w:rPr>
      <w:rFonts w:ascii="Times New Roman" w:hAnsi="Times New Roman" w:cs="Times New Roman"/>
      <w:color w:val="800080"/>
      <w:u w:val="single"/>
    </w:rPr>
  </w:style>
  <w:style w:type="table" w:styleId="TableGrid">
    <w:name w:val="Table Grid"/>
    <w:basedOn w:val="TableNormal"/>
    <w:uiPriority w:val="59"/>
    <w:rsid w:val="009B582C"/>
    <w:pPr>
      <w:ind w:left="720"/>
    </w:pPr>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C">
    <w:name w:val="LEVEL C"/>
    <w:basedOn w:val="Default"/>
    <w:next w:val="Default"/>
    <w:uiPriority w:val="99"/>
    <w:rsid w:val="00EB3707"/>
    <w:rPr>
      <w:color w:val="auto"/>
    </w:rPr>
  </w:style>
  <w:style w:type="character" w:customStyle="1" w:styleId="Heading1Char">
    <w:name w:val="Heading 1 Char"/>
    <w:basedOn w:val="DefaultParagraphFont"/>
    <w:link w:val="Heading1"/>
    <w:uiPriority w:val="9"/>
    <w:rsid w:val="00645886"/>
    <w:rPr>
      <w:rFonts w:ascii="Cambria" w:eastAsia="Times New Roman" w:hAnsi="Cambria" w:cs="Times New Roman"/>
      <w:b/>
      <w:bCs/>
      <w:kern w:val="32"/>
      <w:sz w:val="32"/>
      <w:szCs w:val="32"/>
    </w:rPr>
  </w:style>
  <w:style w:type="paragraph" w:customStyle="1" w:styleId="Bullet1">
    <w:name w:val="Bullet 1"/>
    <w:basedOn w:val="Normal"/>
    <w:uiPriority w:val="99"/>
    <w:rsid w:val="00645886"/>
    <w:pPr>
      <w:numPr>
        <w:numId w:val="16"/>
      </w:numPr>
      <w:spacing w:after="120"/>
    </w:pPr>
    <w:rPr>
      <w:rFonts w:ascii="Calibri" w:eastAsia="Calibri" w:hAnsi="Calibri"/>
      <w:sz w:val="22"/>
      <w:szCs w:val="22"/>
    </w:rPr>
  </w:style>
  <w:style w:type="character" w:styleId="CommentReference">
    <w:name w:val="annotation reference"/>
    <w:basedOn w:val="DefaultParagraphFont"/>
    <w:uiPriority w:val="99"/>
    <w:semiHidden/>
    <w:unhideWhenUsed/>
    <w:rsid w:val="00A14CDE"/>
    <w:rPr>
      <w:sz w:val="16"/>
      <w:szCs w:val="16"/>
    </w:rPr>
  </w:style>
  <w:style w:type="paragraph" w:styleId="CommentText">
    <w:name w:val="annotation text"/>
    <w:basedOn w:val="Normal"/>
    <w:link w:val="CommentTextChar"/>
    <w:uiPriority w:val="99"/>
    <w:semiHidden/>
    <w:unhideWhenUsed/>
    <w:rsid w:val="00A14CDE"/>
    <w:rPr>
      <w:sz w:val="20"/>
      <w:szCs w:val="20"/>
    </w:rPr>
  </w:style>
  <w:style w:type="character" w:customStyle="1" w:styleId="CommentTextChar">
    <w:name w:val="Comment Text Char"/>
    <w:basedOn w:val="DefaultParagraphFont"/>
    <w:link w:val="CommentText"/>
    <w:uiPriority w:val="99"/>
    <w:semiHidden/>
    <w:rsid w:val="00A14CD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4CDE"/>
    <w:rPr>
      <w:b/>
      <w:bCs/>
    </w:rPr>
  </w:style>
  <w:style w:type="character" w:customStyle="1" w:styleId="CommentSubjectChar">
    <w:name w:val="Comment Subject Char"/>
    <w:basedOn w:val="CommentTextChar"/>
    <w:link w:val="CommentSubject"/>
    <w:uiPriority w:val="99"/>
    <w:semiHidden/>
    <w:rsid w:val="00A14CDE"/>
    <w:rPr>
      <w:rFonts w:ascii="Times New Roman" w:hAnsi="Times New Roman"/>
      <w:b/>
      <w:bCs/>
    </w:rPr>
  </w:style>
  <w:style w:type="paragraph" w:styleId="Revision">
    <w:name w:val="Revision"/>
    <w:hidden/>
    <w:uiPriority w:val="99"/>
    <w:semiHidden/>
    <w:rsid w:val="00326E3A"/>
    <w:rPr>
      <w:rFonts w:ascii="Times New Roman" w:hAnsi="Times New Roman"/>
      <w:sz w:val="24"/>
      <w:szCs w:val="24"/>
    </w:rPr>
  </w:style>
  <w:style w:type="paragraph" w:styleId="FootnoteText">
    <w:name w:val="footnote text"/>
    <w:basedOn w:val="Normal"/>
    <w:link w:val="FootnoteTextChar"/>
    <w:uiPriority w:val="99"/>
    <w:semiHidden/>
    <w:unhideWhenUsed/>
    <w:rsid w:val="003A4F7C"/>
    <w:rPr>
      <w:sz w:val="20"/>
      <w:szCs w:val="20"/>
    </w:rPr>
  </w:style>
  <w:style w:type="character" w:customStyle="1" w:styleId="FootnoteTextChar">
    <w:name w:val="Footnote Text Char"/>
    <w:basedOn w:val="DefaultParagraphFont"/>
    <w:link w:val="FootnoteText"/>
    <w:uiPriority w:val="99"/>
    <w:semiHidden/>
    <w:rsid w:val="003A4F7C"/>
    <w:rPr>
      <w:rFonts w:ascii="Times New Roman" w:hAnsi="Times New Roman"/>
    </w:rPr>
  </w:style>
  <w:style w:type="character" w:styleId="FootnoteReference">
    <w:name w:val="footnote reference"/>
    <w:basedOn w:val="DefaultParagraphFont"/>
    <w:uiPriority w:val="99"/>
    <w:semiHidden/>
    <w:unhideWhenUsed/>
    <w:rsid w:val="003A4F7C"/>
    <w:rPr>
      <w:vertAlign w:val="superscript"/>
    </w:rPr>
  </w:style>
  <w:style w:type="table" w:customStyle="1" w:styleId="TableGrid1">
    <w:name w:val="Table Grid1"/>
    <w:basedOn w:val="TableNormal"/>
    <w:next w:val="TableGrid"/>
    <w:uiPriority w:val="59"/>
    <w:rsid w:val="00576EB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599013">
      <w:bodyDiv w:val="1"/>
      <w:marLeft w:val="0"/>
      <w:marRight w:val="0"/>
      <w:marTop w:val="0"/>
      <w:marBottom w:val="0"/>
      <w:divBdr>
        <w:top w:val="none" w:sz="0" w:space="0" w:color="auto"/>
        <w:left w:val="none" w:sz="0" w:space="0" w:color="auto"/>
        <w:bottom w:val="none" w:sz="0" w:space="0" w:color="auto"/>
        <w:right w:val="none" w:sz="0" w:space="0" w:color="auto"/>
      </w:divBdr>
    </w:div>
    <w:div w:id="248468942">
      <w:bodyDiv w:val="1"/>
      <w:marLeft w:val="0"/>
      <w:marRight w:val="0"/>
      <w:marTop w:val="0"/>
      <w:marBottom w:val="0"/>
      <w:divBdr>
        <w:top w:val="none" w:sz="0" w:space="0" w:color="auto"/>
        <w:left w:val="none" w:sz="0" w:space="0" w:color="auto"/>
        <w:bottom w:val="none" w:sz="0" w:space="0" w:color="auto"/>
        <w:right w:val="none" w:sz="0" w:space="0" w:color="auto"/>
      </w:divBdr>
    </w:div>
    <w:div w:id="482744034">
      <w:bodyDiv w:val="1"/>
      <w:marLeft w:val="0"/>
      <w:marRight w:val="0"/>
      <w:marTop w:val="0"/>
      <w:marBottom w:val="0"/>
      <w:divBdr>
        <w:top w:val="none" w:sz="0" w:space="0" w:color="auto"/>
        <w:left w:val="none" w:sz="0" w:space="0" w:color="auto"/>
        <w:bottom w:val="none" w:sz="0" w:space="0" w:color="auto"/>
        <w:right w:val="none" w:sz="0" w:space="0" w:color="auto"/>
      </w:divBdr>
    </w:div>
    <w:div w:id="568996669">
      <w:bodyDiv w:val="1"/>
      <w:marLeft w:val="0"/>
      <w:marRight w:val="0"/>
      <w:marTop w:val="0"/>
      <w:marBottom w:val="0"/>
      <w:divBdr>
        <w:top w:val="none" w:sz="0" w:space="0" w:color="auto"/>
        <w:left w:val="none" w:sz="0" w:space="0" w:color="auto"/>
        <w:bottom w:val="none" w:sz="0" w:space="0" w:color="auto"/>
        <w:right w:val="none" w:sz="0" w:space="0" w:color="auto"/>
      </w:divBdr>
    </w:div>
    <w:div w:id="594021931">
      <w:bodyDiv w:val="1"/>
      <w:marLeft w:val="0"/>
      <w:marRight w:val="0"/>
      <w:marTop w:val="0"/>
      <w:marBottom w:val="0"/>
      <w:divBdr>
        <w:top w:val="none" w:sz="0" w:space="0" w:color="auto"/>
        <w:left w:val="none" w:sz="0" w:space="0" w:color="auto"/>
        <w:bottom w:val="none" w:sz="0" w:space="0" w:color="auto"/>
        <w:right w:val="none" w:sz="0" w:space="0" w:color="auto"/>
      </w:divBdr>
    </w:div>
    <w:div w:id="879318058">
      <w:bodyDiv w:val="1"/>
      <w:marLeft w:val="0"/>
      <w:marRight w:val="0"/>
      <w:marTop w:val="0"/>
      <w:marBottom w:val="0"/>
      <w:divBdr>
        <w:top w:val="none" w:sz="0" w:space="0" w:color="auto"/>
        <w:left w:val="none" w:sz="0" w:space="0" w:color="auto"/>
        <w:bottom w:val="none" w:sz="0" w:space="0" w:color="auto"/>
        <w:right w:val="none" w:sz="0" w:space="0" w:color="auto"/>
      </w:divBdr>
    </w:div>
    <w:div w:id="1262179601">
      <w:bodyDiv w:val="1"/>
      <w:marLeft w:val="0"/>
      <w:marRight w:val="0"/>
      <w:marTop w:val="0"/>
      <w:marBottom w:val="0"/>
      <w:divBdr>
        <w:top w:val="none" w:sz="0" w:space="0" w:color="auto"/>
        <w:left w:val="none" w:sz="0" w:space="0" w:color="auto"/>
        <w:bottom w:val="none" w:sz="0" w:space="0" w:color="auto"/>
        <w:right w:val="none" w:sz="0" w:space="0" w:color="auto"/>
      </w:divBdr>
    </w:div>
    <w:div w:id="1627806960">
      <w:bodyDiv w:val="1"/>
      <w:marLeft w:val="0"/>
      <w:marRight w:val="0"/>
      <w:marTop w:val="0"/>
      <w:marBottom w:val="0"/>
      <w:divBdr>
        <w:top w:val="none" w:sz="0" w:space="0" w:color="auto"/>
        <w:left w:val="none" w:sz="0" w:space="0" w:color="auto"/>
        <w:bottom w:val="none" w:sz="0" w:space="0" w:color="auto"/>
        <w:right w:val="none" w:sz="0" w:space="0" w:color="auto"/>
      </w:divBdr>
    </w:div>
    <w:div w:id="1998725647">
      <w:bodyDiv w:val="1"/>
      <w:marLeft w:val="0"/>
      <w:marRight w:val="0"/>
      <w:marTop w:val="0"/>
      <w:marBottom w:val="0"/>
      <w:divBdr>
        <w:top w:val="none" w:sz="0" w:space="0" w:color="auto"/>
        <w:left w:val="none" w:sz="0" w:space="0" w:color="auto"/>
        <w:bottom w:val="none" w:sz="0" w:space="0" w:color="auto"/>
        <w:right w:val="none" w:sz="0" w:space="0" w:color="auto"/>
      </w:divBdr>
    </w:div>
    <w:div w:id="2027365204">
      <w:bodyDiv w:val="1"/>
      <w:marLeft w:val="0"/>
      <w:marRight w:val="0"/>
      <w:marTop w:val="0"/>
      <w:marBottom w:val="0"/>
      <w:divBdr>
        <w:top w:val="none" w:sz="0" w:space="0" w:color="auto"/>
        <w:left w:val="none" w:sz="0" w:space="0" w:color="auto"/>
        <w:bottom w:val="none" w:sz="0" w:space="0" w:color="auto"/>
        <w:right w:val="none" w:sz="0" w:space="0" w:color="auto"/>
      </w:divBdr>
    </w:div>
    <w:div w:id="20881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tedfsoly01\div_hs$\HAU\Programs\Consolidated%20Homeless%20Grant%20Program\Guidelines\Jan%201,%202014-Dec%2030,%202015\placeholder" TargetMode="External"/><Relationship Id="rId18" Type="http://schemas.openxmlformats.org/officeDocument/2006/relationships/hyperlink" Target="http://portal.hud.gov/hudportal/documents/huddoc?id=DOC_11742.pdf" TargetMode="External"/><Relationship Id="rId26" Type="http://schemas.openxmlformats.org/officeDocument/2006/relationships/footer" Target="footer1.xml"/><Relationship Id="rId39" Type="http://schemas.openxmlformats.org/officeDocument/2006/relationships/hyperlink" Target="http://www.rurdev.usda.gov/recd_map.html" TargetMode="External"/><Relationship Id="rId3" Type="http://schemas.openxmlformats.org/officeDocument/2006/relationships/styles" Target="styles.xml"/><Relationship Id="rId21" Type="http://schemas.openxmlformats.org/officeDocument/2006/relationships/hyperlink" Target="https://www.washingtonconnection.org/home/" TargetMode="External"/><Relationship Id="rId34" Type="http://schemas.openxmlformats.org/officeDocument/2006/relationships/hyperlink" Target="http://www.apartmentguide.com" TargetMode="External"/><Relationship Id="rId42" Type="http://schemas.openxmlformats.org/officeDocument/2006/relationships/hyperlink" Target="http://www.hud.gov/offices/lead/enforcement/disclosure.cfm" TargetMode="External"/><Relationship Id="rId47" Type="http://schemas.openxmlformats.org/officeDocument/2006/relationships/hyperlink" Target="http://www.hud.gov/offices/cpd/affordablehousing/training/web/leadsaf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tedfsoly01\div_hs$\HAU\Programs\Consolidated%20Homeless%20Grant%20Program\Guidelines\Jan%201,%202014-Dec%2030,%202015\placeholder" TargetMode="External"/><Relationship Id="rId17" Type="http://schemas.openxmlformats.org/officeDocument/2006/relationships/hyperlink" Target="http://www.huduser.org/datasets/fmr/fmrs/index.asp?data=fmr08" TargetMode="External"/><Relationship Id="rId25" Type="http://schemas.openxmlformats.org/officeDocument/2006/relationships/header" Target="header2.xml"/><Relationship Id="rId33" Type="http://schemas.openxmlformats.org/officeDocument/2006/relationships/hyperlink" Target="http://www.hud.gov/offices/cpd/affordablehousing/library/forms/rentreasonablechecklist.doc" TargetMode="External"/><Relationship Id="rId38" Type="http://schemas.openxmlformats.org/officeDocument/2006/relationships/hyperlink" Target="http://www.apartmentlist.com" TargetMode="External"/><Relationship Id="rId46" Type="http://schemas.openxmlformats.org/officeDocument/2006/relationships/hyperlink" Target="http://www.epa.gov/lead/pubs/nlic.htm" TargetMode="External"/><Relationship Id="rId2" Type="http://schemas.openxmlformats.org/officeDocument/2006/relationships/numbering" Target="numbering.xml"/><Relationship Id="rId16" Type="http://schemas.openxmlformats.org/officeDocument/2006/relationships/hyperlink" Target="http://www.liheapwa.org/" TargetMode="External"/><Relationship Id="rId20" Type="http://schemas.openxmlformats.org/officeDocument/2006/relationships/hyperlink" Target="http://www.prainc.com/soar/about/default.asp" TargetMode="External"/><Relationship Id="rId29" Type="http://schemas.openxmlformats.org/officeDocument/2006/relationships/footer" Target="footer3.xml"/><Relationship Id="rId41" Type="http://schemas.openxmlformats.org/officeDocument/2006/relationships/hyperlink" Target="http://www.realtor.org/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tedfsoly01\div_hs$\HAU\Programs\Consolidated%20Homeless%20Grant%20Program\Guidelines\Jan%201,%202014-Dec%2030,%202015\placeholder" TargetMode="External"/><Relationship Id="rId24" Type="http://schemas.openxmlformats.org/officeDocument/2006/relationships/header" Target="header1.xml"/><Relationship Id="rId32" Type="http://schemas.openxmlformats.org/officeDocument/2006/relationships/footer" Target="footer6.xml"/><Relationship Id="rId37" Type="http://schemas.openxmlformats.org/officeDocument/2006/relationships/hyperlink" Target="http://www.move.com/apartments/main.aspx" TargetMode="External"/><Relationship Id="rId40" Type="http://schemas.openxmlformats.org/officeDocument/2006/relationships/hyperlink" Target="http://www.realtor.org/" TargetMode="External"/><Relationship Id="rId45" Type="http://schemas.openxmlformats.org/officeDocument/2006/relationships/hyperlink" Target="http://www.leadlisting.org" TargetMode="External"/><Relationship Id="rId5" Type="http://schemas.openxmlformats.org/officeDocument/2006/relationships/webSettings" Target="webSettings.xml"/><Relationship Id="rId15" Type="http://schemas.openxmlformats.org/officeDocument/2006/relationships/hyperlink" Target="http://www.utc.wa.gov/consumers/energy/Pages/energyAssistance.aspx" TargetMode="External"/><Relationship Id="rId23" Type="http://schemas.openxmlformats.org/officeDocument/2006/relationships/hyperlink" Target="http://www.wsba.org" TargetMode="External"/><Relationship Id="rId28" Type="http://schemas.openxmlformats.org/officeDocument/2006/relationships/footer" Target="footer2.xml"/><Relationship Id="rId36" Type="http://schemas.openxmlformats.org/officeDocument/2006/relationships/hyperlink" Target="http://www.forrentmag.com" TargetMode="External"/><Relationship Id="rId49" Type="http://schemas.openxmlformats.org/officeDocument/2006/relationships/fontTable" Target="fontTable.xml"/><Relationship Id="rId10" Type="http://schemas.openxmlformats.org/officeDocument/2006/relationships/hyperlink" Target="file:///\\ctedfsoly01\div_hs$\HAU\Programs\Consolidated%20Homeless%20Grant%20Program\Guidelines\Jan%201,%202014-Dec%2030,%202015\placeholder" TargetMode="External"/><Relationship Id="rId19" Type="http://schemas.openxmlformats.org/officeDocument/2006/relationships/hyperlink" Target="http://portal.hud.gov/hudportal/documents/huddoc?id=DOC_11742.pdf" TargetMode="External"/><Relationship Id="rId31" Type="http://schemas.openxmlformats.org/officeDocument/2006/relationships/footer" Target="footer5.xml"/><Relationship Id="rId44" Type="http://schemas.openxmlformats.org/officeDocument/2006/relationships/hyperlink" Target="http://cfpub.epa.gov/flpp/" TargetMode="External"/><Relationship Id="rId4" Type="http://schemas.openxmlformats.org/officeDocument/2006/relationships/settings" Target="settings.xml"/><Relationship Id="rId9" Type="http://schemas.openxmlformats.org/officeDocument/2006/relationships/hyperlink" Target="file:///\\ctedfsoly01\div_hs$\HAU\Programs\Consolidated%20Homeless%20Grant%20Program\Guidelines\Jan%201,%202014-Dec%2030,%202015\placeholder" TargetMode="External"/><Relationship Id="rId14" Type="http://schemas.openxmlformats.org/officeDocument/2006/relationships/hyperlink" Target="file:///\\ctedfsoly01\div_hs$\HAU\Programs\Consolidated%20Homeless%20Grant%20Program\Guidelines\Jan%201,%202014-Dec%2030,%202015\placeholder" TargetMode="External"/><Relationship Id="rId22" Type="http://schemas.openxmlformats.org/officeDocument/2006/relationships/hyperlink" Target="http://www.washingtonlawhelp.com"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http://www.apartments.com" TargetMode="External"/><Relationship Id="rId43" Type="http://schemas.openxmlformats.org/officeDocument/2006/relationships/hyperlink" Target="http://www.hud.gov/offices/lead/training/visualassessment/h00101.htm" TargetMode="External"/><Relationship Id="rId48" Type="http://schemas.openxmlformats.org/officeDocument/2006/relationships/footer" Target="footer7.xml"/><Relationship Id="rId8" Type="http://schemas.openxmlformats.org/officeDocument/2006/relationships/image" Target="media/image1.jpeg"/><Relationship Id="rId51"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huduser.org/portal/datasets/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EC7D-542B-444A-8AD0-4FD16577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12849</Words>
  <Characters>73242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Emergency Shelter and Homeless Prevention</vt:lpstr>
    </vt:vector>
  </TitlesOfParts>
  <Company>CTED</Company>
  <LinksUpToDate>false</LinksUpToDate>
  <CharactersWithSpaces>85920</CharactersWithSpaces>
  <SharedDoc>false</SharedDoc>
  <HLinks>
    <vt:vector size="120" baseType="variant">
      <vt:variant>
        <vt:i4>3539070</vt:i4>
      </vt:variant>
      <vt:variant>
        <vt:i4>57</vt:i4>
      </vt:variant>
      <vt:variant>
        <vt:i4>0</vt:i4>
      </vt:variant>
      <vt:variant>
        <vt:i4>5</vt:i4>
      </vt:variant>
      <vt:variant>
        <vt:lpwstr>http://www.hud.gov/offices/cpd/affordablehousing/training/web/leadsafe/</vt:lpwstr>
      </vt:variant>
      <vt:variant>
        <vt:lpwstr/>
      </vt:variant>
      <vt:variant>
        <vt:i4>2818168</vt:i4>
      </vt:variant>
      <vt:variant>
        <vt:i4>54</vt:i4>
      </vt:variant>
      <vt:variant>
        <vt:i4>0</vt:i4>
      </vt:variant>
      <vt:variant>
        <vt:i4>5</vt:i4>
      </vt:variant>
      <vt:variant>
        <vt:lpwstr>http://www.epa.gov/lead/pubs/nlic.html</vt:lpwstr>
      </vt:variant>
      <vt:variant>
        <vt:lpwstr/>
      </vt:variant>
      <vt:variant>
        <vt:i4>4128894</vt:i4>
      </vt:variant>
      <vt:variant>
        <vt:i4>51</vt:i4>
      </vt:variant>
      <vt:variant>
        <vt:i4>0</vt:i4>
      </vt:variant>
      <vt:variant>
        <vt:i4>5</vt:i4>
      </vt:variant>
      <vt:variant>
        <vt:lpwstr>http://www.leadlisting.org/</vt:lpwstr>
      </vt:variant>
      <vt:variant>
        <vt:lpwstr/>
      </vt:variant>
      <vt:variant>
        <vt:i4>7733302</vt:i4>
      </vt:variant>
      <vt:variant>
        <vt:i4>48</vt:i4>
      </vt:variant>
      <vt:variant>
        <vt:i4>0</vt:i4>
      </vt:variant>
      <vt:variant>
        <vt:i4>5</vt:i4>
      </vt:variant>
      <vt:variant>
        <vt:lpwstr>http://cfpub.epa.gov/flpp/</vt:lpwstr>
      </vt:variant>
      <vt:variant>
        <vt:lpwstr/>
      </vt:variant>
      <vt:variant>
        <vt:i4>262147</vt:i4>
      </vt:variant>
      <vt:variant>
        <vt:i4>45</vt:i4>
      </vt:variant>
      <vt:variant>
        <vt:i4>0</vt:i4>
      </vt:variant>
      <vt:variant>
        <vt:i4>5</vt:i4>
      </vt:variant>
      <vt:variant>
        <vt:lpwstr>http://www.hud.gov/offices/lead/training/visualassessment/h00101.html</vt:lpwstr>
      </vt:variant>
      <vt:variant>
        <vt:lpwstr/>
      </vt:variant>
      <vt:variant>
        <vt:i4>3670072</vt:i4>
      </vt:variant>
      <vt:variant>
        <vt:i4>42</vt:i4>
      </vt:variant>
      <vt:variant>
        <vt:i4>0</vt:i4>
      </vt:variant>
      <vt:variant>
        <vt:i4>5</vt:i4>
      </vt:variant>
      <vt:variant>
        <vt:lpwstr>http://www.hud.gov/offices/lead/enforcement/disclosure.cfm</vt:lpwstr>
      </vt:variant>
      <vt:variant>
        <vt:lpwstr/>
      </vt:variant>
      <vt:variant>
        <vt:i4>3473463</vt:i4>
      </vt:variant>
      <vt:variant>
        <vt:i4>39</vt:i4>
      </vt:variant>
      <vt:variant>
        <vt:i4>0</vt:i4>
      </vt:variant>
      <vt:variant>
        <vt:i4>5</vt:i4>
      </vt:variant>
      <vt:variant>
        <vt:lpwstr>http://www.realtor.org/research</vt:lpwstr>
      </vt:variant>
      <vt:variant>
        <vt:lpwstr/>
      </vt:variant>
      <vt:variant>
        <vt:i4>3539050</vt:i4>
      </vt:variant>
      <vt:variant>
        <vt:i4>36</vt:i4>
      </vt:variant>
      <vt:variant>
        <vt:i4>0</vt:i4>
      </vt:variant>
      <vt:variant>
        <vt:i4>5</vt:i4>
      </vt:variant>
      <vt:variant>
        <vt:lpwstr>http://www.realtor.org/</vt:lpwstr>
      </vt:variant>
      <vt:variant>
        <vt:lpwstr/>
      </vt:variant>
      <vt:variant>
        <vt:i4>7995473</vt:i4>
      </vt:variant>
      <vt:variant>
        <vt:i4>33</vt:i4>
      </vt:variant>
      <vt:variant>
        <vt:i4>0</vt:i4>
      </vt:variant>
      <vt:variant>
        <vt:i4>5</vt:i4>
      </vt:variant>
      <vt:variant>
        <vt:lpwstr>http://www.rurdev.usda.gov/recd_map.html</vt:lpwstr>
      </vt:variant>
      <vt:variant>
        <vt:lpwstr/>
      </vt:variant>
      <vt:variant>
        <vt:i4>851968</vt:i4>
      </vt:variant>
      <vt:variant>
        <vt:i4>30</vt:i4>
      </vt:variant>
      <vt:variant>
        <vt:i4>0</vt:i4>
      </vt:variant>
      <vt:variant>
        <vt:i4>5</vt:i4>
      </vt:variant>
      <vt:variant>
        <vt:lpwstr>http://www.move.com/apartments/main.aspx</vt:lpwstr>
      </vt:variant>
      <vt:variant>
        <vt:lpwstr/>
      </vt:variant>
      <vt:variant>
        <vt:i4>2162727</vt:i4>
      </vt:variant>
      <vt:variant>
        <vt:i4>27</vt:i4>
      </vt:variant>
      <vt:variant>
        <vt:i4>0</vt:i4>
      </vt:variant>
      <vt:variant>
        <vt:i4>5</vt:i4>
      </vt:variant>
      <vt:variant>
        <vt:lpwstr>http://www.forrentmag.com/</vt:lpwstr>
      </vt:variant>
      <vt:variant>
        <vt:lpwstr/>
      </vt:variant>
      <vt:variant>
        <vt:i4>2097196</vt:i4>
      </vt:variant>
      <vt:variant>
        <vt:i4>24</vt:i4>
      </vt:variant>
      <vt:variant>
        <vt:i4>0</vt:i4>
      </vt:variant>
      <vt:variant>
        <vt:i4>5</vt:i4>
      </vt:variant>
      <vt:variant>
        <vt:lpwstr>http://www.apartments.com/</vt:lpwstr>
      </vt:variant>
      <vt:variant>
        <vt:lpwstr/>
      </vt:variant>
      <vt:variant>
        <vt:i4>3211316</vt:i4>
      </vt:variant>
      <vt:variant>
        <vt:i4>21</vt:i4>
      </vt:variant>
      <vt:variant>
        <vt:i4>0</vt:i4>
      </vt:variant>
      <vt:variant>
        <vt:i4>5</vt:i4>
      </vt:variant>
      <vt:variant>
        <vt:lpwstr>http://www.apartmentguide.com/</vt:lpwstr>
      </vt:variant>
      <vt:variant>
        <vt:lpwstr/>
      </vt:variant>
      <vt:variant>
        <vt:i4>2621494</vt:i4>
      </vt:variant>
      <vt:variant>
        <vt:i4>18</vt:i4>
      </vt:variant>
      <vt:variant>
        <vt:i4>0</vt:i4>
      </vt:variant>
      <vt:variant>
        <vt:i4>5</vt:i4>
      </vt:variant>
      <vt:variant>
        <vt:lpwstr>http://www.hud.gov/offices/cpd/affordablehousing/library/forms/rentreasonablechecklist.doc</vt:lpwstr>
      </vt:variant>
      <vt:variant>
        <vt:lpwstr/>
      </vt:variant>
      <vt:variant>
        <vt:i4>3407994</vt:i4>
      </vt:variant>
      <vt:variant>
        <vt:i4>15</vt:i4>
      </vt:variant>
      <vt:variant>
        <vt:i4>0</vt:i4>
      </vt:variant>
      <vt:variant>
        <vt:i4>5</vt:i4>
      </vt:variant>
      <vt:variant>
        <vt:lpwstr>http://www.atg.wa.gov/</vt:lpwstr>
      </vt:variant>
      <vt:variant>
        <vt:lpwstr/>
      </vt:variant>
      <vt:variant>
        <vt:i4>6160474</vt:i4>
      </vt:variant>
      <vt:variant>
        <vt:i4>12</vt:i4>
      </vt:variant>
      <vt:variant>
        <vt:i4>0</vt:i4>
      </vt:variant>
      <vt:variant>
        <vt:i4>5</vt:i4>
      </vt:variant>
      <vt:variant>
        <vt:lpwstr>http://www.tenantsunion.org/</vt:lpwstr>
      </vt:variant>
      <vt:variant>
        <vt:lpwstr/>
      </vt:variant>
      <vt:variant>
        <vt:i4>5767193</vt:i4>
      </vt:variant>
      <vt:variant>
        <vt:i4>9</vt:i4>
      </vt:variant>
      <vt:variant>
        <vt:i4>0</vt:i4>
      </vt:variant>
      <vt:variant>
        <vt:i4>5</vt:i4>
      </vt:variant>
      <vt:variant>
        <vt:lpwstr>http://www.nwjustice.org/</vt:lpwstr>
      </vt:variant>
      <vt:variant>
        <vt:lpwstr/>
      </vt:variant>
      <vt:variant>
        <vt:i4>3407994</vt:i4>
      </vt:variant>
      <vt:variant>
        <vt:i4>6</vt:i4>
      </vt:variant>
      <vt:variant>
        <vt:i4>0</vt:i4>
      </vt:variant>
      <vt:variant>
        <vt:i4>5</vt:i4>
      </vt:variant>
      <vt:variant>
        <vt:lpwstr>http://www.atg.wa.gov/</vt:lpwstr>
      </vt:variant>
      <vt:variant>
        <vt:lpwstr/>
      </vt:variant>
      <vt:variant>
        <vt:i4>4718676</vt:i4>
      </vt:variant>
      <vt:variant>
        <vt:i4>3</vt:i4>
      </vt:variant>
      <vt:variant>
        <vt:i4>0</vt:i4>
      </vt:variant>
      <vt:variant>
        <vt:i4>5</vt:i4>
      </vt:variant>
      <vt:variant>
        <vt:lpwstr>http://www.hudclips.org/</vt:lpwstr>
      </vt:variant>
      <vt:variant>
        <vt:lpwstr/>
      </vt:variant>
      <vt:variant>
        <vt:i4>2818144</vt:i4>
      </vt:variant>
      <vt:variant>
        <vt:i4>0</vt:i4>
      </vt:variant>
      <vt:variant>
        <vt:i4>0</vt:i4>
      </vt:variant>
      <vt:variant>
        <vt:i4>5</vt:i4>
      </vt:variant>
      <vt:variant>
        <vt:lpwstr>http://www.huduser.org/portal/datasets/il.html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Shelter and Homeless Prevention</dc:title>
  <dc:creator>Yasutake, Bruce (COM)</dc:creator>
  <cp:lastModifiedBy> </cp:lastModifiedBy>
  <cp:revision>2</cp:revision>
  <cp:lastPrinted>2013-07-18T18:47:00Z</cp:lastPrinted>
  <dcterms:created xsi:type="dcterms:W3CDTF">2013-10-23T16:15:00Z</dcterms:created>
  <dcterms:modified xsi:type="dcterms:W3CDTF">2013-10-23T16:15:00Z</dcterms:modified>
</cp:coreProperties>
</file>