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FD4E" w14:textId="0BBD4274" w:rsidR="000A5D96" w:rsidRPr="00B4033D" w:rsidRDefault="00C95DE5" w:rsidP="00C95DE5">
      <w:pPr>
        <w:spacing w:after="0" w:line="300" w:lineRule="auto"/>
        <w:ind w:firstLine="720"/>
        <w:rPr>
          <w:rFonts w:ascii="Palatino Linotype" w:hAnsi="Palatino Linotype" w:cstheme="minorHAnsi"/>
          <w:b/>
          <w:sz w:val="36"/>
          <w:szCs w:val="36"/>
          <w:u w:val="single"/>
        </w:rPr>
      </w:pPr>
      <w:r w:rsidRPr="00B4033D">
        <w:rPr>
          <w:rFonts w:ascii="Palatino Linotype" w:hAnsi="Palatino Linotype" w:cstheme="minorHAns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1F74851" wp14:editId="069DF2FE">
            <wp:simplePos x="2103120" y="914400"/>
            <wp:positionH relativeFrom="margin">
              <wp:align>left</wp:align>
            </wp:positionH>
            <wp:positionV relativeFrom="margin">
              <wp:align>top</wp:align>
            </wp:positionV>
            <wp:extent cx="1274445" cy="1265449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ty_Logo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6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E4B">
        <w:rPr>
          <w:rFonts w:ascii="Palatino Linotype" w:hAnsi="Palatino Linotype" w:cstheme="minorHAnsi"/>
          <w:b/>
          <w:sz w:val="36"/>
          <w:szCs w:val="36"/>
          <w:u w:val="single"/>
        </w:rPr>
        <w:t xml:space="preserve">2025 </w:t>
      </w:r>
      <w:r w:rsidR="000A5D96" w:rsidRPr="00B4033D">
        <w:rPr>
          <w:rFonts w:ascii="Palatino Linotype" w:hAnsi="Palatino Linotype" w:cstheme="minorHAnsi"/>
          <w:b/>
          <w:sz w:val="36"/>
          <w:szCs w:val="36"/>
          <w:u w:val="single"/>
        </w:rPr>
        <w:t>Wellness Incentive</w:t>
      </w:r>
      <w:r w:rsidR="00514DA0" w:rsidRPr="00B4033D">
        <w:rPr>
          <w:rFonts w:ascii="Palatino Linotype" w:hAnsi="Palatino Linotype" w:cstheme="minorHAnsi"/>
          <w:b/>
          <w:sz w:val="36"/>
          <w:szCs w:val="36"/>
          <w:u w:val="single"/>
        </w:rPr>
        <w:t xml:space="preserve"> Rules</w:t>
      </w:r>
    </w:p>
    <w:p w14:paraId="68E96862" w14:textId="77777777" w:rsidR="000A5D96" w:rsidRPr="00B4033D" w:rsidRDefault="000A5D96" w:rsidP="000A5D96">
      <w:pPr>
        <w:spacing w:after="0" w:line="300" w:lineRule="auto"/>
        <w:contextualSpacing/>
        <w:rPr>
          <w:rFonts w:ascii="Palatino Linotype" w:hAnsi="Palatino Linotype" w:cstheme="minorHAnsi"/>
        </w:rPr>
      </w:pPr>
      <w:r w:rsidRPr="00B4033D">
        <w:rPr>
          <w:rFonts w:ascii="Palatino Linotype" w:hAnsi="Palatino Linotype" w:cstheme="minorHAnsi"/>
        </w:rPr>
        <w:t xml:space="preserve"> </w:t>
      </w:r>
    </w:p>
    <w:p w14:paraId="5D5669A4" w14:textId="77777777" w:rsidR="000A5D96" w:rsidRPr="00B4033D" w:rsidRDefault="000A5D96" w:rsidP="00C95DE5">
      <w:pPr>
        <w:spacing w:after="0" w:line="286" w:lineRule="auto"/>
        <w:contextualSpacing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To:  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ab/>
        <w:t>All Active Employees and Retirees on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 xml:space="preserve"> the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City of Yakima Health Plan </w:t>
      </w:r>
    </w:p>
    <w:p w14:paraId="571FA3F3" w14:textId="5C88B76B" w:rsidR="000A5D96" w:rsidRPr="00B4033D" w:rsidRDefault="000A5D96" w:rsidP="00C95DE5">
      <w:pPr>
        <w:spacing w:after="0" w:line="286" w:lineRule="auto"/>
        <w:contextualSpacing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From: 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ab/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Abbi Rhoads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>,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Human Resources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 xml:space="preserve"> Specialist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73E18647" w14:textId="77777777" w:rsidR="000A5D96" w:rsidRPr="00B4033D" w:rsidRDefault="000A5D96" w:rsidP="00C95DE5">
      <w:pPr>
        <w:spacing w:after="0" w:line="286" w:lineRule="auto"/>
        <w:contextualSpacing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Cc: 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ab/>
        <w:t>Health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 xml:space="preserve"> and Welfare Benefits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Board </w:t>
      </w:r>
    </w:p>
    <w:p w14:paraId="2DE94C4D" w14:textId="77777777" w:rsidR="000A5D96" w:rsidRPr="00B4033D" w:rsidRDefault="000A5D96" w:rsidP="00C95DE5">
      <w:pPr>
        <w:spacing w:after="0" w:line="286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B4033D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A20FF36" w14:textId="77777777" w:rsidR="000A5D96" w:rsidRPr="00B4033D" w:rsidRDefault="00C95DE5" w:rsidP="00C95DE5">
      <w:pPr>
        <w:spacing w:after="0" w:line="286" w:lineRule="auto"/>
        <w:contextualSpacing/>
        <w:rPr>
          <w:rFonts w:ascii="Palatino Linotype" w:hAnsi="Palatino Linotype" w:cs="Times New Roman"/>
          <w:b/>
          <w:i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b/>
          <w:i/>
          <w:w w:val="90"/>
          <w:sz w:val="24"/>
          <w:szCs w:val="24"/>
        </w:rPr>
        <w:t xml:space="preserve">Subject: </w:t>
      </w:r>
      <w:r w:rsidR="000A5D96" w:rsidRPr="00B4033D">
        <w:rPr>
          <w:rFonts w:ascii="Palatino Linotype" w:hAnsi="Palatino Linotype" w:cs="Times New Roman"/>
          <w:b/>
          <w:i/>
          <w:w w:val="90"/>
          <w:sz w:val="24"/>
          <w:szCs w:val="24"/>
        </w:rPr>
        <w:t xml:space="preserve"> Wellness Incentive offered to employees, retirees and spouses </w:t>
      </w:r>
      <w:r w:rsidR="00957C6B">
        <w:rPr>
          <w:rFonts w:ascii="Palatino Linotype" w:hAnsi="Palatino Linotype" w:cs="Times New Roman"/>
          <w:b/>
          <w:i/>
          <w:w w:val="90"/>
          <w:sz w:val="24"/>
          <w:szCs w:val="24"/>
        </w:rPr>
        <w:t>on the Health Plan</w:t>
      </w:r>
      <w:r w:rsidR="000A5D96" w:rsidRPr="00B4033D">
        <w:rPr>
          <w:rFonts w:ascii="Palatino Linotype" w:hAnsi="Palatino Linotype" w:cs="Times New Roman"/>
          <w:b/>
          <w:i/>
          <w:w w:val="90"/>
          <w:sz w:val="24"/>
          <w:szCs w:val="24"/>
        </w:rPr>
        <w:t xml:space="preserve"> </w:t>
      </w:r>
    </w:p>
    <w:p w14:paraId="0EEBA146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0096A811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Since 1999, the </w:t>
      </w:r>
      <w:r w:rsidR="00957C6B" w:rsidRPr="00B4033D">
        <w:rPr>
          <w:rFonts w:ascii="Palatino Linotype" w:hAnsi="Palatino Linotype" w:cs="Times New Roman"/>
          <w:w w:val="90"/>
          <w:sz w:val="24"/>
          <w:szCs w:val="24"/>
        </w:rPr>
        <w:t>Health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 xml:space="preserve"> and Welfare Benefits</w:t>
      </w:r>
      <w:r w:rsidR="00957C6B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Board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has considered a variety of cost containment measures and benefit enhancements. These changes are intended to help preserve our self-insured program so that we can provide the best benefits to employees, </w:t>
      </w:r>
      <w:r w:rsidR="00C30368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retirees and 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spouses 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>on the plan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at the lowest possible cost.  We believe that changing the culture with </w:t>
      </w:r>
      <w:r w:rsidR="00957C6B" w:rsidRPr="00B4033D">
        <w:rPr>
          <w:rFonts w:ascii="Palatino Linotype" w:hAnsi="Palatino Linotype" w:cs="Times New Roman"/>
          <w:w w:val="90"/>
          <w:sz w:val="24"/>
          <w:szCs w:val="24"/>
        </w:rPr>
        <w:t>regard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957C6B" w:rsidRPr="00B4033D">
        <w:rPr>
          <w:rFonts w:ascii="Palatino Linotype" w:hAnsi="Palatino Linotype" w:cs="Times New Roman"/>
          <w:w w:val="90"/>
          <w:sz w:val="24"/>
          <w:szCs w:val="24"/>
        </w:rPr>
        <w:t>to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health</w:t>
      </w:r>
      <w:r w:rsidR="00957C6B">
        <w:rPr>
          <w:rFonts w:ascii="Palatino Linotype" w:hAnsi="Palatino Linotype" w:cs="Times New Roman"/>
          <w:w w:val="90"/>
          <w:sz w:val="24"/>
          <w:szCs w:val="24"/>
        </w:rPr>
        <w:t>-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focused efforts, such as wellness incentives will accomplish this. </w:t>
      </w:r>
    </w:p>
    <w:p w14:paraId="2EBA390B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</w:p>
    <w:p w14:paraId="392B1C8F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“Know your numbers” is a national best practice to help increase the wellness of employees and their families.  It is a great first step in changing the way we look at our health and catching serious health conditions through the completion of a blood draw and a </w:t>
      </w:r>
      <w:r w:rsidR="00C30368">
        <w:rPr>
          <w:rFonts w:ascii="Palatino Linotype" w:hAnsi="Palatino Linotype" w:cs="Times New Roman"/>
          <w:w w:val="90"/>
          <w:sz w:val="24"/>
          <w:szCs w:val="24"/>
        </w:rPr>
        <w:t>h</w:t>
      </w:r>
      <w:r w:rsidR="00C30368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ealth </w:t>
      </w:r>
      <w:r w:rsidR="00C30368">
        <w:rPr>
          <w:rFonts w:ascii="Palatino Linotype" w:hAnsi="Palatino Linotype" w:cs="Times New Roman"/>
          <w:w w:val="90"/>
          <w:sz w:val="24"/>
          <w:szCs w:val="24"/>
        </w:rPr>
        <w:t>r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isk </w:t>
      </w:r>
      <w:r w:rsidR="00C30368">
        <w:rPr>
          <w:rFonts w:ascii="Palatino Linotype" w:hAnsi="Palatino Linotype" w:cs="Times New Roman"/>
          <w:w w:val="90"/>
          <w:sz w:val="24"/>
          <w:szCs w:val="24"/>
        </w:rPr>
        <w:t>a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ssessment.  </w:t>
      </w:r>
      <w:r w:rsidR="00514DA0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The City Manager and </w:t>
      </w:r>
      <w:r w:rsidR="00C30368">
        <w:rPr>
          <w:rFonts w:ascii="Palatino Linotype" w:hAnsi="Palatino Linotype" w:cs="Times New Roman"/>
          <w:w w:val="90"/>
          <w:sz w:val="24"/>
          <w:szCs w:val="24"/>
        </w:rPr>
        <w:t>Welfare Benefits</w:t>
      </w:r>
      <w:r w:rsidR="00514DA0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B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>oard offer a similar program for Yakima employees, spouses and retirees on the plan.  To qualify, employees and retirees must meet the wellness incentive requirements to earn $300.  If their spouses participate</w:t>
      </w:r>
      <w:r w:rsidR="00C30368">
        <w:rPr>
          <w:rFonts w:ascii="Palatino Linotype" w:hAnsi="Palatino Linotype" w:cs="Times New Roman"/>
          <w:w w:val="90"/>
          <w:sz w:val="24"/>
          <w:szCs w:val="24"/>
        </w:rPr>
        <w:t>,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and meet the requirements</w:t>
      </w:r>
      <w:r w:rsidR="00C30368">
        <w:rPr>
          <w:rFonts w:ascii="Palatino Linotype" w:hAnsi="Palatino Linotype" w:cs="Times New Roman"/>
          <w:w w:val="90"/>
          <w:sz w:val="24"/>
          <w:szCs w:val="24"/>
        </w:rPr>
        <w:t>,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an additional $200 of flexible spending money can be earned for a total of $500.   </w:t>
      </w:r>
    </w:p>
    <w:p w14:paraId="45F37CD1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29083E6F" w14:textId="77777777" w:rsidR="000A5D96" w:rsidRPr="00B4033D" w:rsidRDefault="00E87932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b/>
          <w:w w:val="90"/>
          <w:sz w:val="24"/>
          <w:szCs w:val="24"/>
        </w:rPr>
      </w:pPr>
      <w:r>
        <w:rPr>
          <w:rFonts w:ascii="Palatino Linotype" w:hAnsi="Palatino Linotype" w:cs="Times New Roman"/>
          <w:b/>
          <w:w w:val="90"/>
          <w:sz w:val="24"/>
          <w:szCs w:val="24"/>
        </w:rPr>
        <w:t>H</w:t>
      </w:r>
      <w:r w:rsidR="00E616AF">
        <w:rPr>
          <w:rFonts w:ascii="Palatino Linotype" w:hAnsi="Palatino Linotype" w:cs="Times New Roman"/>
          <w:b/>
          <w:w w:val="90"/>
          <w:sz w:val="24"/>
          <w:szCs w:val="24"/>
        </w:rPr>
        <w:t>ow it works</w:t>
      </w:r>
      <w:r w:rsidR="000A5D96" w:rsidRPr="00B4033D">
        <w:rPr>
          <w:rFonts w:ascii="Palatino Linotype" w:hAnsi="Palatino Linotype" w:cs="Times New Roman"/>
          <w:b/>
          <w:w w:val="90"/>
          <w:sz w:val="24"/>
          <w:szCs w:val="24"/>
        </w:rPr>
        <w:t xml:space="preserve">: </w:t>
      </w:r>
    </w:p>
    <w:p w14:paraId="3C50005E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642ADA08" w14:textId="65A2E20E" w:rsidR="000A5D96" w:rsidRDefault="00C30368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24"/>
          <w:szCs w:val="24"/>
        </w:rPr>
      </w:pPr>
      <w:r>
        <w:rPr>
          <w:rFonts w:ascii="Palatino Linotype" w:hAnsi="Palatino Linotype" w:cs="Times New Roman"/>
          <w:b/>
          <w:w w:val="90"/>
          <w:sz w:val="24"/>
          <w:szCs w:val="24"/>
        </w:rPr>
        <w:t>O</w:t>
      </w:r>
      <w:r w:rsidR="00153350" w:rsidRPr="00153350">
        <w:rPr>
          <w:rFonts w:ascii="Palatino Linotype" w:hAnsi="Palatino Linotype" w:cs="Times New Roman"/>
          <w:b/>
          <w:w w:val="90"/>
          <w:sz w:val="24"/>
          <w:szCs w:val="24"/>
        </w:rPr>
        <w:t xml:space="preserve">n-line </w:t>
      </w:r>
      <w:r w:rsidR="00153350">
        <w:rPr>
          <w:rFonts w:ascii="Palatino Linotype" w:hAnsi="Palatino Linotype" w:cs="Times New Roman"/>
          <w:b/>
          <w:w w:val="90"/>
          <w:sz w:val="24"/>
          <w:szCs w:val="24"/>
        </w:rPr>
        <w:t>a</w:t>
      </w:r>
      <w:r>
        <w:rPr>
          <w:rFonts w:ascii="Palatino Linotype" w:hAnsi="Palatino Linotype" w:cs="Times New Roman"/>
          <w:b/>
          <w:w w:val="90"/>
          <w:sz w:val="24"/>
          <w:szCs w:val="24"/>
        </w:rPr>
        <w:t>ttestation a</w:t>
      </w:r>
      <w:r w:rsidR="00153350">
        <w:rPr>
          <w:rFonts w:ascii="Palatino Linotype" w:hAnsi="Palatino Linotype" w:cs="Times New Roman"/>
          <w:b/>
          <w:w w:val="90"/>
          <w:sz w:val="24"/>
          <w:szCs w:val="24"/>
        </w:rPr>
        <w:t xml:space="preserve">vailable on </w:t>
      </w:r>
      <w:proofErr w:type="spellStart"/>
      <w:r w:rsidR="008C1537">
        <w:rPr>
          <w:rFonts w:ascii="Palatino Linotype" w:hAnsi="Palatino Linotype" w:cs="Times New Roman"/>
          <w:b/>
          <w:w w:val="90"/>
          <w:sz w:val="24"/>
          <w:szCs w:val="24"/>
        </w:rPr>
        <w:t>City</w:t>
      </w:r>
      <w:r w:rsidR="00123AE9">
        <w:rPr>
          <w:rFonts w:ascii="Palatino Linotype" w:hAnsi="Palatino Linotype" w:cs="Times New Roman"/>
          <w:b/>
          <w:w w:val="90"/>
          <w:sz w:val="24"/>
          <w:szCs w:val="24"/>
        </w:rPr>
        <w:t>ICE</w:t>
      </w:r>
      <w:proofErr w:type="spellEnd"/>
      <w:r w:rsidR="00153350">
        <w:rPr>
          <w:rFonts w:ascii="Palatino Linotype" w:hAnsi="Palatino Linotype" w:cs="Times New Roman"/>
          <w:b/>
          <w:w w:val="90"/>
          <w:sz w:val="24"/>
          <w:szCs w:val="24"/>
        </w:rPr>
        <w:t xml:space="preserve">.  </w:t>
      </w:r>
      <w:r w:rsidR="000339BA">
        <w:rPr>
          <w:rFonts w:ascii="Palatino Linotype" w:hAnsi="Palatino Linotype" w:cs="Times New Roman"/>
          <w:b/>
          <w:w w:val="90"/>
          <w:sz w:val="24"/>
          <w:szCs w:val="24"/>
        </w:rPr>
        <w:t>The</w:t>
      </w:r>
      <w:r w:rsidR="00153350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attestation form can be accessed at: </w:t>
      </w:r>
      <w:hyperlink r:id="rId9" w:history="1">
        <w:r w:rsidR="00491FE7">
          <w:rPr>
            <w:rStyle w:val="Hyperlink"/>
          </w:rPr>
          <w:t>City of Yakima Health Screening – Human Resources (yakimawa.gov)</w:t>
        </w:r>
      </w:hyperlink>
      <w:r w:rsidR="008C1537">
        <w:rPr>
          <w:rStyle w:val="Hyperlink"/>
        </w:rPr>
        <w:t>.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 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>H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ealth screening 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>attestation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must be 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>complete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>d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n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o later than 5:00 p.m. on</w:t>
      </w:r>
      <w:r w:rsidR="005A3AB5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October 31, 2025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to 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>earn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your flexible spending incentive award. </w:t>
      </w:r>
      <w:r w:rsidR="00153350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Services will be checked electronically with the </w:t>
      </w:r>
      <w:proofErr w:type="spellStart"/>
      <w:r w:rsidR="00491FE7">
        <w:rPr>
          <w:rFonts w:ascii="Palatino Linotype" w:hAnsi="Palatino Linotype" w:cs="Times New Roman"/>
          <w:w w:val="90"/>
          <w:sz w:val="24"/>
          <w:szCs w:val="24"/>
        </w:rPr>
        <w:t>miCare</w:t>
      </w:r>
      <w:proofErr w:type="spellEnd"/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Employee </w:t>
      </w:r>
      <w:proofErr w:type="gramStart"/>
      <w:r w:rsidR="00491FE7">
        <w:rPr>
          <w:rFonts w:ascii="Palatino Linotype" w:hAnsi="Palatino Linotype" w:cs="Times New Roman"/>
          <w:w w:val="90"/>
          <w:sz w:val="24"/>
          <w:szCs w:val="24"/>
        </w:rPr>
        <w:t>Clinic</w:t>
      </w:r>
      <w:r w:rsidR="00FD1440">
        <w:rPr>
          <w:rFonts w:ascii="Palatino Linotype" w:hAnsi="Palatino Linotype" w:cs="Times New Roman"/>
          <w:w w:val="90"/>
          <w:sz w:val="24"/>
          <w:szCs w:val="24"/>
        </w:rPr>
        <w:t>,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 Health</w:t>
      </w:r>
      <w:proofErr w:type="gramEnd"/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FD1440">
        <w:rPr>
          <w:rFonts w:ascii="Palatino Linotype" w:hAnsi="Palatino Linotype" w:cs="Times New Roman"/>
          <w:w w:val="90"/>
          <w:sz w:val="24"/>
          <w:szCs w:val="24"/>
        </w:rPr>
        <w:t>R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isk </w:t>
      </w:r>
      <w:r w:rsidR="00FD1440">
        <w:rPr>
          <w:rFonts w:ascii="Palatino Linotype" w:hAnsi="Palatino Linotype" w:cs="Times New Roman"/>
          <w:w w:val="90"/>
          <w:sz w:val="24"/>
          <w:szCs w:val="24"/>
        </w:rPr>
        <w:t>A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ssessment will be verified by </w:t>
      </w:r>
      <w:r w:rsidR="00FD1440">
        <w:rPr>
          <w:rFonts w:ascii="Palatino Linotype" w:hAnsi="Palatino Linotype" w:cs="Times New Roman"/>
          <w:w w:val="90"/>
          <w:sz w:val="24"/>
          <w:szCs w:val="24"/>
        </w:rPr>
        <w:t>vendor, and dental visits will be verified with Delta Dental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.  Incomplete results will be disqualified. </w:t>
      </w:r>
    </w:p>
    <w:p w14:paraId="5AFB5479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76E4918D" w14:textId="77777777" w:rsidR="00902351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b/>
          <w:w w:val="90"/>
          <w:sz w:val="24"/>
          <w:szCs w:val="24"/>
        </w:rPr>
        <w:t xml:space="preserve">The </w:t>
      </w:r>
      <w:r w:rsidR="003E0043">
        <w:rPr>
          <w:rFonts w:ascii="Palatino Linotype" w:hAnsi="Palatino Linotype" w:cs="Times New Roman"/>
          <w:b/>
          <w:w w:val="90"/>
          <w:sz w:val="24"/>
          <w:szCs w:val="24"/>
        </w:rPr>
        <w:t>attestation</w:t>
      </w:r>
      <w:r w:rsidRPr="00B4033D">
        <w:rPr>
          <w:rFonts w:ascii="Palatino Linotype" w:hAnsi="Palatino Linotype" w:cs="Times New Roman"/>
          <w:b/>
          <w:w w:val="90"/>
          <w:sz w:val="24"/>
          <w:szCs w:val="24"/>
        </w:rPr>
        <w:t xml:space="preserve"> has five requirements: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 </w:t>
      </w:r>
    </w:p>
    <w:p w14:paraId="4DFA8835" w14:textId="60EC1ECC" w:rsidR="00902351" w:rsidRDefault="00C30368" w:rsidP="00902351">
      <w:pPr>
        <w:pStyle w:val="ListParagraph"/>
        <w:numPr>
          <w:ilvl w:val="0"/>
          <w:numId w:val="2"/>
        </w:numPr>
        <w:spacing w:beforeLines="50" w:before="120" w:afterLines="50" w:after="120" w:line="286" w:lineRule="auto"/>
        <w:contextualSpacing w:val="0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>
        <w:rPr>
          <w:rFonts w:ascii="Palatino Linotype" w:hAnsi="Palatino Linotype" w:cs="Times New Roman"/>
          <w:w w:val="90"/>
          <w:sz w:val="24"/>
          <w:szCs w:val="24"/>
        </w:rPr>
        <w:t>O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btain a blood draw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by</w:t>
      </w:r>
      <w:r>
        <w:rPr>
          <w:rFonts w:ascii="Palatino Linotype" w:hAnsi="Palatino Linotype" w:cs="Times New Roman"/>
          <w:w w:val="90"/>
          <w:sz w:val="24"/>
          <w:szCs w:val="24"/>
        </w:rPr>
        <w:t xml:space="preserve"> June 30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>, 20</w:t>
      </w:r>
      <w:r>
        <w:rPr>
          <w:rFonts w:ascii="Palatino Linotype" w:hAnsi="Palatino Linotype" w:cs="Times New Roman"/>
          <w:w w:val="90"/>
          <w:sz w:val="24"/>
          <w:szCs w:val="24"/>
        </w:rPr>
        <w:t>2</w:t>
      </w:r>
      <w:r w:rsidR="004F36F5">
        <w:rPr>
          <w:rFonts w:ascii="Palatino Linotype" w:hAnsi="Palatino Linotype" w:cs="Times New Roman"/>
          <w:w w:val="90"/>
          <w:sz w:val="24"/>
          <w:szCs w:val="24"/>
        </w:rPr>
        <w:t>5</w:t>
      </w:r>
      <w:r>
        <w:rPr>
          <w:rFonts w:ascii="Palatino Linotype" w:hAnsi="Palatino Linotype" w:cs="Times New Roman"/>
          <w:w w:val="90"/>
          <w:sz w:val="24"/>
          <w:szCs w:val="24"/>
        </w:rPr>
        <w:t>.  B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lood draws are not required to be done at the </w:t>
      </w:r>
      <w:proofErr w:type="spellStart"/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miCare</w:t>
      </w:r>
      <w:proofErr w:type="spellEnd"/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clinic but highly recommend it, as it is free.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 xml:space="preserve">  If you have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labs done elsewhere after January 1, </w:t>
      </w:r>
      <w:r w:rsidR="00180F66" w:rsidRPr="00B4033D">
        <w:rPr>
          <w:rFonts w:ascii="Palatino Linotype" w:hAnsi="Palatino Linotype" w:cs="Times New Roman"/>
          <w:w w:val="90"/>
          <w:sz w:val="24"/>
          <w:szCs w:val="24"/>
        </w:rPr>
        <w:t>20</w:t>
      </w:r>
      <w:r w:rsidR="00180F66">
        <w:rPr>
          <w:rFonts w:ascii="Palatino Linotype" w:hAnsi="Palatino Linotype" w:cs="Times New Roman"/>
          <w:w w:val="90"/>
          <w:sz w:val="24"/>
          <w:szCs w:val="24"/>
        </w:rPr>
        <w:t>2</w:t>
      </w:r>
      <w:r w:rsidR="00FD1440">
        <w:rPr>
          <w:rFonts w:ascii="Palatino Linotype" w:hAnsi="Palatino Linotype" w:cs="Times New Roman"/>
          <w:w w:val="90"/>
          <w:sz w:val="24"/>
          <w:szCs w:val="24"/>
        </w:rPr>
        <w:t>5</w:t>
      </w:r>
      <w:r w:rsidR="00180F66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48347F">
        <w:rPr>
          <w:rFonts w:ascii="Palatino Linotype" w:hAnsi="Palatino Linotype" w:cs="Times New Roman"/>
          <w:w w:val="90"/>
          <w:sz w:val="24"/>
          <w:szCs w:val="24"/>
        </w:rPr>
        <w:t>but before June 30</w:t>
      </w:r>
      <w:r w:rsidR="00FD1440">
        <w:rPr>
          <w:rFonts w:ascii="Palatino Linotype" w:hAnsi="Palatino Linotype" w:cs="Times New Roman"/>
          <w:w w:val="90"/>
          <w:sz w:val="24"/>
          <w:szCs w:val="24"/>
        </w:rPr>
        <w:t>, 2025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, 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>you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do not have to have labs redone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 xml:space="preserve"> at </w:t>
      </w:r>
      <w:proofErr w:type="spellStart"/>
      <w:r w:rsidR="007C10AB">
        <w:rPr>
          <w:rFonts w:ascii="Palatino Linotype" w:hAnsi="Palatino Linotype" w:cs="Times New Roman"/>
          <w:w w:val="90"/>
          <w:sz w:val="24"/>
          <w:szCs w:val="24"/>
        </w:rPr>
        <w:t>miCare</w:t>
      </w:r>
      <w:proofErr w:type="spellEnd"/>
      <w:r w:rsidR="007C10AB">
        <w:rPr>
          <w:rFonts w:ascii="Palatino Linotype" w:hAnsi="Palatino Linotype" w:cs="Times New Roman"/>
          <w:w w:val="90"/>
          <w:sz w:val="24"/>
          <w:szCs w:val="24"/>
        </w:rPr>
        <w:t>.</w:t>
      </w:r>
      <w:r w:rsidR="007C10AB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7C10AB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Labs done outside of the clinic </w:t>
      </w:r>
      <w:r w:rsidR="007C10AB" w:rsidRPr="00B4033D">
        <w:rPr>
          <w:rFonts w:ascii="Palatino Linotype" w:hAnsi="Palatino Linotype" w:cs="Times New Roman"/>
          <w:w w:val="90"/>
          <w:sz w:val="24"/>
          <w:szCs w:val="24"/>
        </w:rPr>
        <w:lastRenderedPageBreak/>
        <w:t>will incur costs.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 xml:space="preserve">  Outside labs will need to be sent to </w:t>
      </w:r>
      <w:proofErr w:type="spellStart"/>
      <w:r w:rsidR="007C10AB">
        <w:rPr>
          <w:rFonts w:ascii="Palatino Linotype" w:hAnsi="Palatino Linotype" w:cs="Times New Roman"/>
          <w:w w:val="90"/>
          <w:sz w:val="24"/>
          <w:szCs w:val="24"/>
        </w:rPr>
        <w:t>miCare</w:t>
      </w:r>
      <w:proofErr w:type="spellEnd"/>
      <w:r w:rsidR="006050FF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 xml:space="preserve">for 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 xml:space="preserve">a 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>follow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>-</w:t>
      </w:r>
      <w:r w:rsidR="007C10AB">
        <w:rPr>
          <w:rFonts w:ascii="Palatino Linotype" w:hAnsi="Palatino Linotype" w:cs="Times New Roman"/>
          <w:w w:val="90"/>
          <w:sz w:val="24"/>
          <w:szCs w:val="24"/>
        </w:rPr>
        <w:t>up to qualify for the incentive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.  </w:t>
      </w:r>
    </w:p>
    <w:p w14:paraId="5D66565E" w14:textId="22EE913B" w:rsidR="00D52E4B" w:rsidRPr="00D52E4B" w:rsidRDefault="00D52E4B" w:rsidP="00D52E4B">
      <w:pPr>
        <w:pStyle w:val="ListParagraph"/>
        <w:numPr>
          <w:ilvl w:val="0"/>
          <w:numId w:val="2"/>
        </w:numPr>
        <w:spacing w:beforeLines="50" w:before="120" w:afterLines="50" w:after="120" w:line="286" w:lineRule="auto"/>
        <w:contextualSpacing w:val="0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>
        <w:rPr>
          <w:rFonts w:ascii="Palatino Linotype" w:hAnsi="Palatino Linotype" w:cs="Times New Roman"/>
          <w:w w:val="90"/>
          <w:sz w:val="24"/>
          <w:szCs w:val="24"/>
        </w:rPr>
        <w:t>R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egister for </w:t>
      </w:r>
      <w:proofErr w:type="spellStart"/>
      <w:r w:rsidRPr="00B4033D">
        <w:rPr>
          <w:rFonts w:ascii="Palatino Linotype" w:hAnsi="Palatino Linotype" w:cs="Times New Roman"/>
          <w:w w:val="90"/>
          <w:sz w:val="24"/>
          <w:szCs w:val="24"/>
        </w:rPr>
        <w:t>miBenefits</w:t>
      </w:r>
      <w:proofErr w:type="spellEnd"/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>
        <w:rPr>
          <w:rFonts w:ascii="Palatino Linotype" w:hAnsi="Palatino Linotype" w:cs="Times New Roman"/>
          <w:w w:val="90"/>
          <w:sz w:val="24"/>
          <w:szCs w:val="24"/>
        </w:rPr>
        <w:t>(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if you </w:t>
      </w:r>
      <w:r>
        <w:rPr>
          <w:rFonts w:ascii="Palatino Linotype" w:hAnsi="Palatino Linotype" w:cs="Times New Roman"/>
          <w:w w:val="90"/>
          <w:sz w:val="24"/>
          <w:szCs w:val="24"/>
        </w:rPr>
        <w:t>have not done so already</w:t>
      </w:r>
      <w:r>
        <w:rPr>
          <w:rFonts w:ascii="Palatino Linotype" w:hAnsi="Palatino Linotype" w:cs="Times New Roman"/>
          <w:w w:val="90"/>
          <w:sz w:val="24"/>
          <w:szCs w:val="24"/>
        </w:rPr>
        <w:t xml:space="preserve">) </w:t>
      </w:r>
      <w:r>
        <w:rPr>
          <w:rFonts w:ascii="Palatino Linotype" w:hAnsi="Palatino Linotype" w:cs="Times New Roman"/>
          <w:w w:val="90"/>
          <w:sz w:val="24"/>
          <w:szCs w:val="24"/>
        </w:rPr>
        <w:t>October 31, 2025</w:t>
      </w:r>
      <w:r>
        <w:rPr>
          <w:rFonts w:ascii="Palatino Linotype" w:hAnsi="Palatino Linotype" w:cs="Times New Roman"/>
          <w:w w:val="90"/>
          <w:sz w:val="24"/>
          <w:szCs w:val="24"/>
        </w:rPr>
        <w:t>.</w:t>
      </w:r>
      <w:r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1F483A83" w14:textId="7A51F364" w:rsidR="00902351" w:rsidRPr="00B4033D" w:rsidRDefault="006050FF" w:rsidP="00902351">
      <w:pPr>
        <w:pStyle w:val="ListParagraph"/>
        <w:numPr>
          <w:ilvl w:val="0"/>
          <w:numId w:val="2"/>
        </w:numPr>
        <w:spacing w:beforeLines="50" w:before="120" w:afterLines="50" w:after="120" w:line="286" w:lineRule="auto"/>
        <w:contextualSpacing w:val="0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>
        <w:rPr>
          <w:rFonts w:ascii="Palatino Linotype" w:hAnsi="Palatino Linotype" w:cs="Times New Roman"/>
          <w:w w:val="90"/>
          <w:sz w:val="24"/>
          <w:szCs w:val="24"/>
        </w:rPr>
        <w:t>M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ake a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follow-up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appointment with a </w:t>
      </w:r>
      <w:proofErr w:type="spellStart"/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miCare</w:t>
      </w:r>
      <w:proofErr w:type="spellEnd"/>
      <w:r>
        <w:rPr>
          <w:rFonts w:ascii="Palatino Linotype" w:hAnsi="Palatino Linotype" w:cs="Times New Roman"/>
          <w:w w:val="90"/>
          <w:sz w:val="24"/>
          <w:szCs w:val="24"/>
        </w:rPr>
        <w:t xml:space="preserve"> provider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authorized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to review your results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by October 31, 2025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.  *Note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: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follow-up appointments should be completed in a few weeks after blood draw for accuracy or you may have to have them redone.  </w:t>
      </w:r>
    </w:p>
    <w:p w14:paraId="30F98497" w14:textId="0CA41CDC" w:rsidR="00902351" w:rsidRPr="00B4033D" w:rsidRDefault="006050FF" w:rsidP="00902351">
      <w:pPr>
        <w:pStyle w:val="ListParagraph"/>
        <w:numPr>
          <w:ilvl w:val="0"/>
          <w:numId w:val="2"/>
        </w:numPr>
        <w:spacing w:beforeLines="50" w:before="120" w:afterLines="50" w:after="120" w:line="286" w:lineRule="auto"/>
        <w:contextualSpacing w:val="0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>
        <w:rPr>
          <w:rFonts w:ascii="Palatino Linotype" w:hAnsi="Palatino Linotype" w:cs="Times New Roman"/>
          <w:w w:val="90"/>
          <w:sz w:val="24"/>
          <w:szCs w:val="24"/>
        </w:rPr>
        <w:t>C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omplete a new </w:t>
      </w:r>
      <w:r>
        <w:rPr>
          <w:rFonts w:ascii="Palatino Linotype" w:hAnsi="Palatino Linotype" w:cs="Times New Roman"/>
          <w:w w:val="90"/>
          <w:sz w:val="24"/>
          <w:szCs w:val="24"/>
        </w:rPr>
        <w:t xml:space="preserve">annual 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online 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>h</w:t>
      </w:r>
      <w:r w:rsidR="008C1537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ealth 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>r</w:t>
      </w:r>
      <w:r w:rsidR="008C1537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isk 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>a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>ssessment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by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October 31, 2025</w:t>
      </w:r>
      <w:r>
        <w:rPr>
          <w:rFonts w:ascii="Palatino Linotype" w:hAnsi="Palatino Linotype" w:cs="Times New Roman"/>
          <w:w w:val="90"/>
          <w:sz w:val="24"/>
          <w:szCs w:val="24"/>
        </w:rPr>
        <w:t>.</w:t>
      </w:r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 Visit ebms.com and login to your personal </w:t>
      </w:r>
      <w:proofErr w:type="spellStart"/>
      <w:r w:rsidR="00491FE7">
        <w:rPr>
          <w:rFonts w:ascii="Palatino Linotype" w:hAnsi="Palatino Linotype" w:cs="Times New Roman"/>
          <w:w w:val="90"/>
          <w:sz w:val="24"/>
          <w:szCs w:val="24"/>
        </w:rPr>
        <w:t>miBenefits</w:t>
      </w:r>
      <w:proofErr w:type="spellEnd"/>
      <w:r w:rsidR="00491FE7">
        <w:rPr>
          <w:rFonts w:ascii="Palatino Linotype" w:hAnsi="Palatino Linotype" w:cs="Times New Roman"/>
          <w:w w:val="90"/>
          <w:sz w:val="24"/>
          <w:szCs w:val="24"/>
        </w:rPr>
        <w:t xml:space="preserve"> account by entering your username and password.</w:t>
      </w:r>
      <w:r w:rsidR="000A5D9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If you have any questions you can call 1.866.888.8035 for assistance. </w:t>
      </w:r>
    </w:p>
    <w:p w14:paraId="6F6055E4" w14:textId="530A4826" w:rsidR="000A5D96" w:rsidRPr="00B4033D" w:rsidRDefault="000A5D96" w:rsidP="00902351">
      <w:pPr>
        <w:pStyle w:val="ListParagraph"/>
        <w:numPr>
          <w:ilvl w:val="0"/>
          <w:numId w:val="2"/>
        </w:numPr>
        <w:spacing w:beforeLines="50" w:before="120" w:afterLines="50" w:after="120" w:line="286" w:lineRule="auto"/>
        <w:contextualSpacing w:val="0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>Visit yo</w:t>
      </w:r>
      <w:r w:rsidR="00DB1DBE">
        <w:rPr>
          <w:rFonts w:ascii="Palatino Linotype" w:hAnsi="Palatino Linotype" w:cs="Times New Roman"/>
          <w:w w:val="90"/>
          <w:sz w:val="24"/>
          <w:szCs w:val="24"/>
        </w:rPr>
        <w:t xml:space="preserve">ur dentist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by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October 31, 2025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. </w:t>
      </w:r>
    </w:p>
    <w:p w14:paraId="5DCBFF24" w14:textId="3C6B0CCB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>You can check to see if you have earned your incentive on ICE under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Committees &gt; Health and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Wellness &gt;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Wellness 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>Programs</w:t>
      </w:r>
      <w:r w:rsidR="00C11BA5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bookmarkStart w:id="0" w:name="_GoBack"/>
      <w:bookmarkEnd w:id="0"/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&gt;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Health Screening Confirmed</w:t>
      </w:r>
      <w:r w:rsidR="000D7F76"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l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ist.  Your incentive will be available on your benefit card January 1, </w:t>
      </w:r>
      <w:r w:rsidR="00724AB6">
        <w:rPr>
          <w:rFonts w:ascii="Palatino Linotype" w:hAnsi="Palatino Linotype" w:cs="Times New Roman"/>
          <w:w w:val="90"/>
          <w:sz w:val="24"/>
          <w:szCs w:val="24"/>
        </w:rPr>
        <w:t>20</w:t>
      </w:r>
      <w:r w:rsidR="00880BAB">
        <w:rPr>
          <w:rFonts w:ascii="Palatino Linotype" w:hAnsi="Palatino Linotype" w:cs="Times New Roman"/>
          <w:w w:val="90"/>
          <w:sz w:val="24"/>
          <w:szCs w:val="24"/>
        </w:rPr>
        <w:t>2</w:t>
      </w:r>
      <w:r w:rsidR="004F36F5">
        <w:rPr>
          <w:rFonts w:ascii="Palatino Linotype" w:hAnsi="Palatino Linotype" w:cs="Times New Roman"/>
          <w:w w:val="90"/>
          <w:sz w:val="24"/>
          <w:szCs w:val="24"/>
        </w:rPr>
        <w:t>6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for you and your </w:t>
      </w:r>
      <w:r w:rsidR="006050FF" w:rsidRPr="00B4033D">
        <w:rPr>
          <w:rFonts w:ascii="Palatino Linotype" w:hAnsi="Palatino Linotype" w:cs="Times New Roman"/>
          <w:w w:val="90"/>
          <w:sz w:val="24"/>
          <w:szCs w:val="24"/>
        </w:rPr>
        <w:t>family</w:t>
      </w:r>
      <w:r w:rsidR="006050FF">
        <w:rPr>
          <w:rFonts w:ascii="Palatino Linotype" w:hAnsi="Palatino Linotype" w:cs="Times New Roman"/>
          <w:w w:val="90"/>
          <w:sz w:val="24"/>
          <w:szCs w:val="24"/>
        </w:rPr>
        <w:t>’s qualifying</w:t>
      </w:r>
      <w:r w:rsidR="00722236">
        <w:rPr>
          <w:rFonts w:ascii="Palatino Linotype" w:hAnsi="Palatino Linotype" w:cs="Times New Roman"/>
          <w:w w:val="90"/>
          <w:sz w:val="24"/>
          <w:szCs w:val="24"/>
        </w:rPr>
        <w:t xml:space="preserve"> flexible spending 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expenses. </w:t>
      </w:r>
    </w:p>
    <w:p w14:paraId="7607F6E5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2A97A1D5" w14:textId="3B9408E4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>Do not throw away your benefit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debit</w:t>
      </w: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card – your incentive award is reloaded on your card and reused.  You will only receive a new card if you are a new participant on flex spending. </w:t>
      </w:r>
    </w:p>
    <w:p w14:paraId="16283EED" w14:textId="77777777" w:rsidR="000A5D96" w:rsidRPr="00B4033D" w:rsidRDefault="000A5D96" w:rsidP="00C95DE5">
      <w:pPr>
        <w:spacing w:after="0" w:line="286" w:lineRule="auto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  <w:r w:rsidRPr="00B4033D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</w:p>
    <w:p w14:paraId="0DC8321B" w14:textId="53D61501" w:rsidR="00D52E4B" w:rsidRDefault="006050FF" w:rsidP="00D52E4B">
      <w:pPr>
        <w:pStyle w:val="ListParagraph"/>
        <w:numPr>
          <w:ilvl w:val="0"/>
          <w:numId w:val="3"/>
        </w:numPr>
        <w:spacing w:after="0" w:line="286" w:lineRule="auto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6050FF">
        <w:rPr>
          <w:rFonts w:ascii="Palatino Linotype" w:hAnsi="Palatino Linotype" w:cs="Times New Roman"/>
          <w:w w:val="90"/>
          <w:sz w:val="24"/>
          <w:szCs w:val="24"/>
        </w:rPr>
        <w:t>IMPORTANT</w:t>
      </w:r>
      <w:r w:rsidR="008C1537">
        <w:rPr>
          <w:rFonts w:ascii="Palatino Linotype" w:hAnsi="Palatino Linotype" w:cs="Times New Roman"/>
          <w:w w:val="90"/>
          <w:sz w:val="24"/>
          <w:szCs w:val="24"/>
        </w:rPr>
        <w:t>:</w:t>
      </w:r>
      <w:r w:rsidR="00E61883" w:rsidRPr="006050FF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180F66" w:rsidRPr="006050FF">
        <w:rPr>
          <w:rFonts w:ascii="Palatino Linotype" w:hAnsi="Palatino Linotype" w:cs="Times New Roman"/>
          <w:w w:val="90"/>
          <w:sz w:val="24"/>
          <w:szCs w:val="24"/>
        </w:rPr>
        <w:t xml:space="preserve">You must attest on </w:t>
      </w:r>
      <w:proofErr w:type="spellStart"/>
      <w:r w:rsidR="00180F66" w:rsidRPr="006050FF">
        <w:rPr>
          <w:rFonts w:ascii="Palatino Linotype" w:hAnsi="Palatino Linotype" w:cs="Times New Roman"/>
          <w:w w:val="90"/>
          <w:sz w:val="24"/>
          <w:szCs w:val="24"/>
        </w:rPr>
        <w:t>CityICE</w:t>
      </w:r>
      <w:proofErr w:type="spellEnd"/>
      <w:r w:rsidR="00180F66" w:rsidRPr="006050FF">
        <w:rPr>
          <w:rFonts w:ascii="Palatino Linotype" w:hAnsi="Palatino Linotype" w:cs="Times New Roman"/>
          <w:w w:val="90"/>
          <w:sz w:val="24"/>
          <w:szCs w:val="24"/>
        </w:rPr>
        <w:t xml:space="preserve"> that you have completed the requirements to earn the wellness incentive </w:t>
      </w:r>
      <w:r w:rsidR="000A5D96" w:rsidRPr="006050FF">
        <w:rPr>
          <w:rFonts w:ascii="Palatino Linotype" w:hAnsi="Palatino Linotype" w:cs="Times New Roman"/>
          <w:w w:val="90"/>
          <w:sz w:val="24"/>
          <w:szCs w:val="24"/>
        </w:rPr>
        <w:t xml:space="preserve">no later than 5:00 </w:t>
      </w:r>
      <w:proofErr w:type="spellStart"/>
      <w:r w:rsidR="000A5D96" w:rsidRPr="006050FF">
        <w:rPr>
          <w:rFonts w:ascii="Palatino Linotype" w:hAnsi="Palatino Linotype" w:cs="Times New Roman"/>
          <w:w w:val="90"/>
          <w:sz w:val="24"/>
          <w:szCs w:val="24"/>
        </w:rPr>
        <w:t>p.m</w:t>
      </w:r>
      <w:proofErr w:type="spellEnd"/>
      <w:r w:rsidR="00D52E4B" w:rsidRPr="00D52E4B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>October 31, 2025</w:t>
      </w:r>
      <w:r w:rsidR="00D52E4B">
        <w:rPr>
          <w:rFonts w:ascii="Palatino Linotype" w:hAnsi="Palatino Linotype" w:cs="Times New Roman"/>
          <w:w w:val="90"/>
          <w:sz w:val="24"/>
          <w:szCs w:val="24"/>
        </w:rPr>
        <w:t xml:space="preserve"> </w:t>
      </w:r>
      <w:r w:rsidR="000A5D96" w:rsidRPr="006050FF">
        <w:rPr>
          <w:rFonts w:ascii="Palatino Linotype" w:hAnsi="Palatino Linotype" w:cs="Times New Roman"/>
          <w:w w:val="90"/>
          <w:sz w:val="24"/>
          <w:szCs w:val="24"/>
        </w:rPr>
        <w:t xml:space="preserve">to ensure the necessary time to process your health incentive award to your flexible spending account. </w:t>
      </w:r>
    </w:p>
    <w:p w14:paraId="27B44A63" w14:textId="77777777" w:rsidR="00D52E4B" w:rsidRDefault="00D52E4B" w:rsidP="00D52E4B">
      <w:pPr>
        <w:pStyle w:val="ListParagraph"/>
        <w:spacing w:after="0" w:line="286" w:lineRule="auto"/>
        <w:jc w:val="both"/>
        <w:rPr>
          <w:rFonts w:ascii="Palatino Linotype" w:hAnsi="Palatino Linotype" w:cs="Times New Roman"/>
          <w:w w:val="90"/>
          <w:sz w:val="24"/>
          <w:szCs w:val="24"/>
        </w:rPr>
      </w:pPr>
    </w:p>
    <w:p w14:paraId="6931E22E" w14:textId="29CBE2CA" w:rsidR="000A5D96" w:rsidRPr="00D52E4B" w:rsidRDefault="000A5D96" w:rsidP="00D52E4B">
      <w:pPr>
        <w:pStyle w:val="ListParagraph"/>
        <w:numPr>
          <w:ilvl w:val="0"/>
          <w:numId w:val="3"/>
        </w:numPr>
        <w:spacing w:after="0" w:line="286" w:lineRule="auto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D52E4B">
        <w:rPr>
          <w:rFonts w:ascii="Palatino Linotype" w:hAnsi="Palatino Linotype" w:cs="Times New Roman"/>
          <w:b/>
          <w:w w:val="90"/>
          <w:sz w:val="24"/>
          <w:szCs w:val="24"/>
        </w:rPr>
        <w:t>Blood draws</w:t>
      </w:r>
      <w:r w:rsidR="00DB1DBE" w:rsidRPr="00D52E4B">
        <w:rPr>
          <w:rFonts w:ascii="Palatino Linotype" w:hAnsi="Palatino Linotype" w:cs="Times New Roman"/>
          <w:b/>
          <w:w w:val="90"/>
          <w:sz w:val="24"/>
          <w:szCs w:val="24"/>
        </w:rPr>
        <w:t xml:space="preserve"> must </w:t>
      </w:r>
      <w:r w:rsidR="00E616AF" w:rsidRPr="00D52E4B">
        <w:rPr>
          <w:rFonts w:ascii="Palatino Linotype" w:hAnsi="Palatino Linotype" w:cs="Times New Roman"/>
          <w:b/>
          <w:w w:val="90"/>
          <w:sz w:val="24"/>
          <w:szCs w:val="24"/>
        </w:rPr>
        <w:t>be done by June 30, 202</w:t>
      </w:r>
      <w:r w:rsidR="004F36F5" w:rsidRPr="00D52E4B">
        <w:rPr>
          <w:rFonts w:ascii="Palatino Linotype" w:hAnsi="Palatino Linotype" w:cs="Times New Roman"/>
          <w:b/>
          <w:w w:val="90"/>
          <w:sz w:val="24"/>
          <w:szCs w:val="24"/>
        </w:rPr>
        <w:t>5</w:t>
      </w:r>
      <w:r w:rsidR="006050FF" w:rsidRPr="00D52E4B">
        <w:rPr>
          <w:rFonts w:ascii="Palatino Linotype" w:hAnsi="Palatino Linotype" w:cs="Times New Roman"/>
          <w:b/>
          <w:w w:val="90"/>
          <w:sz w:val="24"/>
          <w:szCs w:val="24"/>
        </w:rPr>
        <w:t xml:space="preserve">.  </w:t>
      </w:r>
    </w:p>
    <w:p w14:paraId="218DDFE0" w14:textId="77777777" w:rsidR="00D52E4B" w:rsidRPr="00D52E4B" w:rsidRDefault="00D52E4B" w:rsidP="00D52E4B">
      <w:pPr>
        <w:pStyle w:val="ListParagraph"/>
        <w:rPr>
          <w:rFonts w:ascii="Palatino Linotype" w:hAnsi="Palatino Linotype" w:cs="Times New Roman"/>
          <w:b/>
          <w:w w:val="90"/>
          <w:sz w:val="12"/>
          <w:szCs w:val="12"/>
        </w:rPr>
      </w:pPr>
    </w:p>
    <w:p w14:paraId="0E5D04CD" w14:textId="77777777" w:rsidR="00D52E4B" w:rsidRPr="00D52E4B" w:rsidRDefault="00D52E4B" w:rsidP="00D52E4B">
      <w:pPr>
        <w:pStyle w:val="ListParagraph"/>
        <w:spacing w:after="0" w:line="286" w:lineRule="auto"/>
        <w:jc w:val="both"/>
        <w:rPr>
          <w:rFonts w:ascii="Palatino Linotype" w:hAnsi="Palatino Linotype" w:cs="Times New Roman"/>
          <w:b/>
          <w:w w:val="90"/>
          <w:sz w:val="12"/>
          <w:szCs w:val="12"/>
        </w:rPr>
      </w:pPr>
    </w:p>
    <w:p w14:paraId="39BEF0D4" w14:textId="77777777" w:rsidR="000A5D96" w:rsidRPr="006050FF" w:rsidRDefault="000A5D96" w:rsidP="006050FF">
      <w:pPr>
        <w:pStyle w:val="ListParagraph"/>
        <w:numPr>
          <w:ilvl w:val="0"/>
          <w:numId w:val="3"/>
        </w:numPr>
        <w:spacing w:after="0" w:line="286" w:lineRule="auto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6050FF">
        <w:rPr>
          <w:rFonts w:ascii="Palatino Linotype" w:hAnsi="Palatino Linotype" w:cs="Times New Roman"/>
          <w:w w:val="90"/>
          <w:sz w:val="24"/>
          <w:szCs w:val="24"/>
        </w:rPr>
        <w:t xml:space="preserve">An employee’s spouse is eligible even if the employee does not participate.  If both the employee and spouse meet the criteria for the wellness incentive a total of $500.00 flexible spending health incentive will be awarded on the employee’s flexible spending account. </w:t>
      </w:r>
    </w:p>
    <w:p w14:paraId="6D29C0FE" w14:textId="77777777" w:rsidR="000A5D96" w:rsidRPr="00B4033D" w:rsidRDefault="000A5D96" w:rsidP="006050FF">
      <w:pPr>
        <w:spacing w:after="0" w:line="286" w:lineRule="auto"/>
        <w:ind w:firstLine="60"/>
        <w:contextualSpacing/>
        <w:jc w:val="both"/>
        <w:rPr>
          <w:rFonts w:ascii="Palatino Linotype" w:hAnsi="Palatino Linotype" w:cs="Times New Roman"/>
          <w:w w:val="90"/>
          <w:sz w:val="12"/>
          <w:szCs w:val="12"/>
        </w:rPr>
      </w:pPr>
    </w:p>
    <w:p w14:paraId="06BF66C2" w14:textId="77777777" w:rsidR="00D52E4B" w:rsidRDefault="00D52E4B" w:rsidP="00D52E4B">
      <w:pPr>
        <w:spacing w:after="0" w:line="286" w:lineRule="auto"/>
        <w:jc w:val="both"/>
        <w:rPr>
          <w:rFonts w:ascii="Palatino Linotype" w:hAnsi="Palatino Linotype" w:cs="Times New Roman"/>
          <w:w w:val="90"/>
          <w:sz w:val="24"/>
          <w:szCs w:val="24"/>
        </w:rPr>
      </w:pPr>
    </w:p>
    <w:p w14:paraId="75DDB127" w14:textId="717092DF" w:rsidR="000A5D96" w:rsidRPr="00D52E4B" w:rsidRDefault="000A5D96" w:rsidP="00D52E4B">
      <w:pPr>
        <w:spacing w:after="0" w:line="286" w:lineRule="auto"/>
        <w:jc w:val="both"/>
        <w:rPr>
          <w:rFonts w:ascii="Palatino Linotype" w:hAnsi="Palatino Linotype" w:cs="Times New Roman"/>
          <w:w w:val="90"/>
          <w:sz w:val="24"/>
          <w:szCs w:val="24"/>
        </w:rPr>
      </w:pPr>
      <w:r w:rsidRPr="00D52E4B">
        <w:rPr>
          <w:rFonts w:ascii="Palatino Linotype" w:hAnsi="Palatino Linotype" w:cs="Times New Roman"/>
          <w:w w:val="90"/>
          <w:sz w:val="24"/>
          <w:szCs w:val="24"/>
        </w:rPr>
        <w:t xml:space="preserve">We care about you and your family and look forward to creating a great partnership by reducing and controlling rising health costs.   </w:t>
      </w:r>
    </w:p>
    <w:p w14:paraId="54E22020" w14:textId="77777777" w:rsidR="000A5D96" w:rsidRPr="00902351" w:rsidRDefault="000A5D96" w:rsidP="00C95DE5">
      <w:pPr>
        <w:spacing w:after="0" w:line="286" w:lineRule="auto"/>
        <w:contextualSpacing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sectPr w:rsidR="000A5D96" w:rsidRPr="00902351" w:rsidSect="00B4033D">
      <w:headerReference w:type="default" r:id="rId10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AD24" w14:textId="77777777" w:rsidR="00C95DE5" w:rsidRDefault="00C95DE5" w:rsidP="00C95DE5">
      <w:pPr>
        <w:spacing w:after="0" w:line="240" w:lineRule="auto"/>
      </w:pPr>
      <w:r>
        <w:separator/>
      </w:r>
    </w:p>
  </w:endnote>
  <w:endnote w:type="continuationSeparator" w:id="0">
    <w:p w14:paraId="080CF31B" w14:textId="77777777" w:rsidR="00C95DE5" w:rsidRDefault="00C95DE5" w:rsidP="00C9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AA27" w14:textId="77777777" w:rsidR="00C95DE5" w:rsidRDefault="00C95DE5" w:rsidP="00C95DE5">
      <w:pPr>
        <w:spacing w:after="0" w:line="240" w:lineRule="auto"/>
      </w:pPr>
      <w:r>
        <w:separator/>
      </w:r>
    </w:p>
  </w:footnote>
  <w:footnote w:type="continuationSeparator" w:id="0">
    <w:p w14:paraId="49D8FA3B" w14:textId="77777777" w:rsidR="00C95DE5" w:rsidRDefault="00C95DE5" w:rsidP="00C9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55C1" w14:textId="77777777" w:rsidR="00C95DE5" w:rsidRDefault="00C95DE5" w:rsidP="00C95D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870"/>
    <w:multiLevelType w:val="hybridMultilevel"/>
    <w:tmpl w:val="BFBE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ECA"/>
    <w:multiLevelType w:val="hybridMultilevel"/>
    <w:tmpl w:val="71C8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E61"/>
    <w:multiLevelType w:val="hybridMultilevel"/>
    <w:tmpl w:val="A08C9C62"/>
    <w:lvl w:ilvl="0" w:tplc="E85811B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96"/>
    <w:rsid w:val="00010D92"/>
    <w:rsid w:val="000339BA"/>
    <w:rsid w:val="000748A7"/>
    <w:rsid w:val="000A5D96"/>
    <w:rsid w:val="000D7F76"/>
    <w:rsid w:val="001171F5"/>
    <w:rsid w:val="00122698"/>
    <w:rsid w:val="00123AE9"/>
    <w:rsid w:val="00153350"/>
    <w:rsid w:val="00180F66"/>
    <w:rsid w:val="0021263C"/>
    <w:rsid w:val="00283965"/>
    <w:rsid w:val="002A07A9"/>
    <w:rsid w:val="003069AC"/>
    <w:rsid w:val="003161D7"/>
    <w:rsid w:val="003E0043"/>
    <w:rsid w:val="00425E3C"/>
    <w:rsid w:val="0048347F"/>
    <w:rsid w:val="00491FE7"/>
    <w:rsid w:val="004F36F5"/>
    <w:rsid w:val="00514DA0"/>
    <w:rsid w:val="00554D8F"/>
    <w:rsid w:val="005A3AB5"/>
    <w:rsid w:val="006050FF"/>
    <w:rsid w:val="0067104F"/>
    <w:rsid w:val="006E7557"/>
    <w:rsid w:val="00722236"/>
    <w:rsid w:val="00724AB6"/>
    <w:rsid w:val="007778BA"/>
    <w:rsid w:val="007C10AB"/>
    <w:rsid w:val="007D2A07"/>
    <w:rsid w:val="00851FE2"/>
    <w:rsid w:val="00880BAB"/>
    <w:rsid w:val="0088371E"/>
    <w:rsid w:val="008C1537"/>
    <w:rsid w:val="008F68E6"/>
    <w:rsid w:val="00902351"/>
    <w:rsid w:val="00957C6B"/>
    <w:rsid w:val="00972972"/>
    <w:rsid w:val="00A14181"/>
    <w:rsid w:val="00B347AC"/>
    <w:rsid w:val="00B4033D"/>
    <w:rsid w:val="00B40537"/>
    <w:rsid w:val="00B827AD"/>
    <w:rsid w:val="00BD544A"/>
    <w:rsid w:val="00C02B43"/>
    <w:rsid w:val="00C02D0B"/>
    <w:rsid w:val="00C11BA5"/>
    <w:rsid w:val="00C30368"/>
    <w:rsid w:val="00C327BA"/>
    <w:rsid w:val="00C53CEE"/>
    <w:rsid w:val="00C95DE5"/>
    <w:rsid w:val="00CB239B"/>
    <w:rsid w:val="00D125A2"/>
    <w:rsid w:val="00D52E4B"/>
    <w:rsid w:val="00D67370"/>
    <w:rsid w:val="00DB1DBE"/>
    <w:rsid w:val="00E616AF"/>
    <w:rsid w:val="00E61883"/>
    <w:rsid w:val="00E87932"/>
    <w:rsid w:val="00F928BA"/>
    <w:rsid w:val="00FD1440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CC775D0"/>
  <w15:chartTrackingRefBased/>
  <w15:docId w15:val="{568902D1-A840-4AB9-B675-E37C6655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E5"/>
  </w:style>
  <w:style w:type="paragraph" w:styleId="Footer">
    <w:name w:val="footer"/>
    <w:basedOn w:val="Normal"/>
    <w:link w:val="FooterChar"/>
    <w:uiPriority w:val="99"/>
    <w:unhideWhenUsed/>
    <w:rsid w:val="00C9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E5"/>
  </w:style>
  <w:style w:type="paragraph" w:styleId="ListParagraph">
    <w:name w:val="List Paragraph"/>
    <w:basedOn w:val="Normal"/>
    <w:uiPriority w:val="34"/>
    <w:qFormat/>
    <w:rsid w:val="00902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91F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tyice.yakimawa.gov/hr/city-of-yakima-2025-health-screening-attes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A671-B114-4FAB-8B72-A086E2C5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Lori</dc:creator>
  <cp:keywords/>
  <dc:description/>
  <cp:lastModifiedBy>Peterson-Lee, Gretchen</cp:lastModifiedBy>
  <cp:revision>5</cp:revision>
  <cp:lastPrinted>2023-09-22T23:46:00Z</cp:lastPrinted>
  <dcterms:created xsi:type="dcterms:W3CDTF">2024-12-03T22:25:00Z</dcterms:created>
  <dcterms:modified xsi:type="dcterms:W3CDTF">2025-01-03T19:05:00Z</dcterms:modified>
</cp:coreProperties>
</file>